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92" w:rsidRDefault="00BD009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汕头大学精神卫生中心</w:t>
      </w:r>
    </w:p>
    <w:p w:rsidR="00AB6ADB" w:rsidRDefault="00AB6ADB">
      <w:pPr>
        <w:jc w:val="center"/>
        <w:rPr>
          <w:rFonts w:ascii="方正小标宋简体" w:eastAsia="方正小标宋简体" w:hAnsi="方正小标宋简体" w:cs="方正小标宋简体"/>
          <w:sz w:val="44"/>
          <w:szCs w:val="44"/>
        </w:rPr>
      </w:pPr>
      <w:r w:rsidRPr="00AB6ADB">
        <w:rPr>
          <w:rFonts w:ascii="方正小标宋简体" w:eastAsia="方正小标宋简体" w:hAnsi="方正小标宋简体" w:cs="方正小标宋简体" w:hint="eastAsia"/>
          <w:sz w:val="44"/>
          <w:szCs w:val="44"/>
        </w:rPr>
        <w:t>医疗质量控制、安全管理信息数据库</w:t>
      </w:r>
    </w:p>
    <w:p w:rsidR="00445D92" w:rsidRDefault="00BD009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项目建设规划</w:t>
      </w:r>
    </w:p>
    <w:p w:rsidR="00445D92" w:rsidRDefault="00445D92">
      <w:pPr>
        <w:rPr>
          <w:sz w:val="22"/>
        </w:rPr>
      </w:pPr>
    </w:p>
    <w:p w:rsidR="00AB6ADB" w:rsidRPr="00045E0A" w:rsidRDefault="00AB6ADB" w:rsidP="00AB6ADB">
      <w:pPr>
        <w:pStyle w:val="a9"/>
        <w:numPr>
          <w:ilvl w:val="0"/>
          <w:numId w:val="1"/>
        </w:numPr>
        <w:spacing w:line="360" w:lineRule="auto"/>
        <w:ind w:firstLineChars="0"/>
        <w:rPr>
          <w:b/>
          <w:sz w:val="28"/>
          <w:szCs w:val="32"/>
        </w:rPr>
      </w:pPr>
      <w:r w:rsidRPr="00045E0A">
        <w:rPr>
          <w:rFonts w:hint="eastAsia"/>
          <w:b/>
          <w:sz w:val="28"/>
          <w:szCs w:val="32"/>
        </w:rPr>
        <w:t>项目背景</w:t>
      </w:r>
    </w:p>
    <w:p w:rsidR="00AB6ADB" w:rsidRDefault="00AB6ADB" w:rsidP="00AB6ADB">
      <w:pPr>
        <w:spacing w:line="360" w:lineRule="auto"/>
        <w:ind w:firstLineChars="200" w:firstLine="480"/>
        <w:rPr>
          <w:rFonts w:ascii="宋体" w:hAnsi="宋体" w:cs="方正楷体_GBK"/>
          <w:sz w:val="24"/>
          <w:szCs w:val="24"/>
        </w:rPr>
      </w:pPr>
      <w:r>
        <w:rPr>
          <w:rFonts w:ascii="宋体" w:hAnsi="宋体" w:cs="方正楷体_GBK" w:hint="eastAsia"/>
          <w:sz w:val="24"/>
          <w:szCs w:val="24"/>
        </w:rPr>
        <w:t>近年来，国家持续推进公立医院高质量发展战略，将绩效考核作为深化</w:t>
      </w:r>
      <w:proofErr w:type="gramStart"/>
      <w:r>
        <w:rPr>
          <w:rFonts w:ascii="宋体" w:hAnsi="宋体" w:cs="方正楷体_GBK" w:hint="eastAsia"/>
          <w:sz w:val="24"/>
          <w:szCs w:val="24"/>
        </w:rPr>
        <w:t>医</w:t>
      </w:r>
      <w:proofErr w:type="gramEnd"/>
      <w:r>
        <w:rPr>
          <w:rFonts w:ascii="宋体" w:hAnsi="宋体" w:cs="方正楷体_GBK" w:hint="eastAsia"/>
          <w:sz w:val="24"/>
          <w:szCs w:val="24"/>
        </w:rPr>
        <w:t>改、提升医院治理能力的关键抓手。自2019年《国务院办公厅关于加强三级公立医院绩效考核工作的意见》（国办发〔2019〕4号）发布以来，“国考”已成为衡量公立医院综合实力的“金标尺”，其指标体系涵盖医疗质量、运营效率、持续发展、满意度评价四大维度，推动医院从规模扩张向质量效益转型。2021年，《公立医院高质量发展促进行动（2021—2025年）》进一步强调需通过绩效考核促进医院精细化管理与数据驱动的决策模式，实现医疗资源优化配置与服务质量提升。</w:t>
      </w:r>
    </w:p>
    <w:p w:rsidR="00AB6ADB" w:rsidRDefault="00AB6ADB" w:rsidP="00AB6ADB">
      <w:pPr>
        <w:spacing w:line="360" w:lineRule="auto"/>
        <w:ind w:firstLineChars="200" w:firstLine="480"/>
        <w:rPr>
          <w:rFonts w:ascii="宋体" w:hAnsi="宋体" w:cs="方正楷体_GBK"/>
          <w:sz w:val="24"/>
          <w:szCs w:val="24"/>
        </w:rPr>
      </w:pPr>
      <w:r>
        <w:rPr>
          <w:rFonts w:ascii="宋体" w:hAnsi="宋体" w:cs="方正楷体_GBK" w:hint="eastAsia"/>
          <w:sz w:val="24"/>
          <w:szCs w:val="24"/>
        </w:rPr>
        <w:t>在此背景下，国家卫生健康委发布的《国家三级公立医院绩效考核操作手册（2024版）》进一步细化指标定义与数据规范，要求医院建立标准化、智能化的绩效管理体系，推动数据与业务深度融合，通过智慧化手段强化专科能力、优化资源配置。</w:t>
      </w:r>
    </w:p>
    <w:p w:rsidR="00AB6ADB" w:rsidRDefault="00AB6ADB" w:rsidP="00AB6ADB">
      <w:pPr>
        <w:spacing w:line="360" w:lineRule="auto"/>
        <w:ind w:firstLineChars="200" w:firstLine="480"/>
        <w:rPr>
          <w:rFonts w:ascii="宋体" w:hAnsi="宋体" w:cs="方正楷体_GBK"/>
          <w:sz w:val="24"/>
          <w:szCs w:val="24"/>
        </w:rPr>
      </w:pPr>
      <w:r>
        <w:rPr>
          <w:rFonts w:ascii="宋体" w:hAnsi="宋体" w:cs="方正楷体_GBK" w:hint="eastAsia"/>
          <w:sz w:val="24"/>
          <w:szCs w:val="24"/>
        </w:rPr>
        <w:t>本项目通过构建一套符合国家政策导向、贴合医院实际需求的绩效考核系统，</w:t>
      </w:r>
      <w:proofErr w:type="gramStart"/>
      <w:r>
        <w:rPr>
          <w:rFonts w:ascii="宋体" w:hAnsi="宋体" w:cs="方正楷体_GBK" w:hint="eastAsia"/>
          <w:sz w:val="24"/>
          <w:szCs w:val="24"/>
        </w:rPr>
        <w:t>覆盖国考</w:t>
      </w:r>
      <w:proofErr w:type="gramEnd"/>
      <w:r>
        <w:rPr>
          <w:rFonts w:ascii="宋体" w:hAnsi="宋体" w:cs="方正楷体_GBK" w:hint="eastAsia"/>
          <w:sz w:val="24"/>
          <w:szCs w:val="24"/>
        </w:rPr>
        <w:t>、省</w:t>
      </w:r>
      <w:proofErr w:type="gramStart"/>
      <w:r>
        <w:rPr>
          <w:rFonts w:ascii="宋体" w:hAnsi="宋体" w:cs="方正楷体_GBK" w:hint="eastAsia"/>
          <w:sz w:val="24"/>
          <w:szCs w:val="24"/>
        </w:rPr>
        <w:t>考以及</w:t>
      </w:r>
      <w:proofErr w:type="gramEnd"/>
      <w:r>
        <w:rPr>
          <w:rFonts w:ascii="宋体" w:hAnsi="宋体" w:cs="方正楷体_GBK" w:hint="eastAsia"/>
          <w:sz w:val="24"/>
          <w:szCs w:val="24"/>
        </w:rPr>
        <w:t>医院其他监测数据，不仅是落实“国考”要求的必要举措，更是医院实现高质量发展、提升区域竞争力的核心路径。</w:t>
      </w:r>
    </w:p>
    <w:p w:rsidR="00AB6ADB" w:rsidRPr="00045E0A" w:rsidRDefault="00AB6ADB" w:rsidP="00AB6ADB">
      <w:pPr>
        <w:pStyle w:val="a9"/>
        <w:numPr>
          <w:ilvl w:val="0"/>
          <w:numId w:val="1"/>
        </w:numPr>
        <w:ind w:firstLineChars="0"/>
        <w:rPr>
          <w:b/>
          <w:sz w:val="28"/>
          <w:szCs w:val="32"/>
        </w:rPr>
      </w:pPr>
      <w:r w:rsidRPr="00045E0A">
        <w:rPr>
          <w:rFonts w:hint="eastAsia"/>
          <w:b/>
          <w:sz w:val="28"/>
          <w:szCs w:val="32"/>
        </w:rPr>
        <w:t>现状</w:t>
      </w:r>
    </w:p>
    <w:p w:rsidR="00AB6ADB" w:rsidRDefault="00AB6ADB" w:rsidP="00AB6ADB">
      <w:pPr>
        <w:spacing w:line="360" w:lineRule="auto"/>
        <w:ind w:firstLineChars="200" w:firstLine="480"/>
        <w:rPr>
          <w:rFonts w:ascii="宋体" w:hAnsi="宋体" w:cs="方正楷体_GBK"/>
          <w:sz w:val="24"/>
          <w:szCs w:val="24"/>
        </w:rPr>
      </w:pPr>
      <w:r w:rsidRPr="00AB6ADB">
        <w:rPr>
          <w:rFonts w:ascii="宋体" w:hAnsi="宋体" w:cs="方正楷体_GBK" w:hint="eastAsia"/>
          <w:sz w:val="24"/>
          <w:szCs w:val="24"/>
        </w:rPr>
        <w:t>我院目前在指标数据的梳理、采集及汇总的流程上还是以人工为主，缺乏信息系统的支撑，日常工作中以电子版表格为主进行填报和审核，这种方式已难以适应现代医院精细化管理的需求。</w:t>
      </w:r>
    </w:p>
    <w:p w:rsidR="00AB6ADB" w:rsidRDefault="00AB6ADB" w:rsidP="00AB6ADB">
      <w:pPr>
        <w:spacing w:line="360" w:lineRule="auto"/>
        <w:ind w:firstLineChars="200" w:firstLine="480"/>
        <w:rPr>
          <w:rFonts w:ascii="宋体" w:hAnsi="宋体" w:cs="方正楷体_GBK"/>
          <w:sz w:val="24"/>
          <w:szCs w:val="24"/>
        </w:rPr>
      </w:pPr>
      <w:r w:rsidRPr="00AB6ADB">
        <w:rPr>
          <w:rFonts w:ascii="宋体" w:hAnsi="宋体" w:cs="方正楷体_GBK" w:hint="eastAsia"/>
          <w:sz w:val="24"/>
          <w:szCs w:val="24"/>
        </w:rPr>
        <w:t>首先，现有的医疗质量控制、安全管理指标体系存在较为繁杂、缺乏灵活性的问题。同时，指标的取数方式和计算逻辑不够透明，导致数据来源不明、标准</w:t>
      </w:r>
      <w:r w:rsidRPr="00AB6ADB">
        <w:rPr>
          <w:rFonts w:ascii="宋体" w:hAnsi="宋体" w:cs="方正楷体_GBK" w:hint="eastAsia"/>
          <w:sz w:val="24"/>
          <w:szCs w:val="24"/>
        </w:rPr>
        <w:lastRenderedPageBreak/>
        <w:t>不一，增加了统计分析和决策支持的难度。指标标签的缺失也使得指标分类和检索效率低下，难以满足不同科室和层级的个性化需求。</w:t>
      </w:r>
    </w:p>
    <w:p w:rsidR="00AB6ADB" w:rsidRDefault="00AB6ADB" w:rsidP="00AB6ADB">
      <w:pPr>
        <w:spacing w:line="360" w:lineRule="auto"/>
        <w:ind w:firstLineChars="200" w:firstLine="480"/>
        <w:rPr>
          <w:rFonts w:ascii="宋体" w:hAnsi="宋体" w:cs="方正楷体_GBK"/>
          <w:sz w:val="24"/>
          <w:szCs w:val="24"/>
        </w:rPr>
      </w:pPr>
      <w:r w:rsidRPr="00AB6ADB">
        <w:rPr>
          <w:rFonts w:ascii="宋体" w:hAnsi="宋体" w:cs="方正楷体_GBK" w:hint="eastAsia"/>
          <w:sz w:val="24"/>
          <w:szCs w:val="24"/>
        </w:rPr>
        <w:t>其次，数据上报核对过程繁琐且容易出错。缺乏统一的数据填报核对平台，各科室数据分散管理，上报流程不规范，导致数据质量参差不齐。</w:t>
      </w:r>
    </w:p>
    <w:p w:rsidR="00AB6ADB" w:rsidRDefault="00AB6ADB" w:rsidP="00AB6ADB">
      <w:pPr>
        <w:spacing w:line="360" w:lineRule="auto"/>
        <w:ind w:firstLineChars="200" w:firstLine="480"/>
        <w:rPr>
          <w:rFonts w:ascii="宋体" w:hAnsi="宋体" w:cs="方正楷体_GBK"/>
          <w:sz w:val="24"/>
          <w:szCs w:val="24"/>
        </w:rPr>
      </w:pPr>
      <w:r w:rsidRPr="00AB6ADB">
        <w:rPr>
          <w:rFonts w:ascii="宋体" w:hAnsi="宋体" w:cs="方正楷体_GBK" w:hint="eastAsia"/>
          <w:sz w:val="24"/>
          <w:szCs w:val="24"/>
        </w:rPr>
        <w:t>此外，缺乏对填报数据的全过程追踪和管理，难以追溯数据来源、责任人以及操作历史，为后续的数据审计和评估带来困难。</w:t>
      </w:r>
    </w:p>
    <w:p w:rsidR="00AB6ADB" w:rsidRPr="00AB6ADB" w:rsidRDefault="00AB6ADB" w:rsidP="00AB6ADB">
      <w:pPr>
        <w:spacing w:line="360" w:lineRule="auto"/>
        <w:ind w:firstLineChars="200" w:firstLine="480"/>
        <w:rPr>
          <w:rFonts w:ascii="宋体" w:hAnsi="宋体" w:cs="方正楷体_GBK"/>
          <w:sz w:val="24"/>
          <w:szCs w:val="24"/>
        </w:rPr>
      </w:pPr>
      <w:r w:rsidRPr="00AB6ADB">
        <w:rPr>
          <w:rFonts w:ascii="宋体" w:hAnsi="宋体" w:cs="方正楷体_GBK" w:hint="eastAsia"/>
          <w:sz w:val="24"/>
          <w:szCs w:val="24"/>
        </w:rPr>
        <w:t>这些问题导致医院难以实现医疗质量控制、安全管理的精细化、透明化和智能化。数据质量不高，缺乏有效的指标体系和数据填报手段，也难以为医院后续的战略决策提供可靠依据。因此，通过建设医疗质量安全管理指标体系，实现指标的规范化梳理，精细</w:t>
      </w:r>
      <w:proofErr w:type="gramStart"/>
      <w:r w:rsidRPr="00AB6ADB">
        <w:rPr>
          <w:rFonts w:ascii="宋体" w:hAnsi="宋体" w:cs="方正楷体_GBK" w:hint="eastAsia"/>
          <w:sz w:val="24"/>
          <w:szCs w:val="24"/>
        </w:rPr>
        <w:t>化数据</w:t>
      </w:r>
      <w:proofErr w:type="gramEnd"/>
      <w:r w:rsidRPr="00AB6ADB">
        <w:rPr>
          <w:rFonts w:ascii="宋体" w:hAnsi="宋体" w:cs="方正楷体_GBK" w:hint="eastAsia"/>
          <w:sz w:val="24"/>
          <w:szCs w:val="24"/>
        </w:rPr>
        <w:t>上报核对流程，对提升医院的管理效率、优化资源配置、促进医疗质量的持续改进至关重要。</w:t>
      </w:r>
    </w:p>
    <w:p w:rsidR="00AB6ADB" w:rsidRPr="00045E0A" w:rsidRDefault="00AB6ADB" w:rsidP="00AB6ADB">
      <w:pPr>
        <w:pStyle w:val="a9"/>
        <w:numPr>
          <w:ilvl w:val="0"/>
          <w:numId w:val="1"/>
        </w:numPr>
        <w:ind w:firstLineChars="0"/>
        <w:rPr>
          <w:b/>
          <w:sz w:val="28"/>
          <w:szCs w:val="32"/>
        </w:rPr>
      </w:pPr>
      <w:r w:rsidRPr="00045E0A">
        <w:rPr>
          <w:rFonts w:hint="eastAsia"/>
          <w:b/>
          <w:sz w:val="28"/>
          <w:szCs w:val="32"/>
        </w:rPr>
        <w:t>项目建设目标</w:t>
      </w:r>
    </w:p>
    <w:p w:rsidR="00AB6ADB" w:rsidRPr="00AB6ADB" w:rsidRDefault="00AB6ADB" w:rsidP="00AB6ADB">
      <w:pPr>
        <w:spacing w:line="360" w:lineRule="auto"/>
        <w:ind w:firstLineChars="200" w:firstLine="480"/>
        <w:rPr>
          <w:rFonts w:ascii="宋体" w:hAnsi="宋体" w:cs="方正楷体_GBK"/>
          <w:sz w:val="24"/>
          <w:szCs w:val="24"/>
        </w:rPr>
      </w:pPr>
      <w:r w:rsidRPr="00AB6ADB">
        <w:rPr>
          <w:rFonts w:ascii="宋体" w:hAnsi="宋体" w:cs="方正楷体_GBK" w:hint="eastAsia"/>
          <w:sz w:val="24"/>
          <w:szCs w:val="24"/>
        </w:rPr>
        <w:t>本次项目旨在通过先进的信息化手段，基于三级公立医院绩效考核（国考）、三级公立医院绩效考核（省考）、广东省三级精神专科医院监测数据(2022年版）、汕头大学精神卫生中心各专业医疗质量监测指标数据等医院实际业务需求，整合核心指标及扩展指标，建立分类清晰的医疗质量控制安全信息管理数据库并提供数据上报核对功能，实现数据标准化、流程规范化，规范医院医疗质量安全指标体系，实现业务的信息化发展、为临床医护人员及管理人员提供便捷的医疗质量控制安全指标管理途径，提升整体医疗质量水平。</w:t>
      </w:r>
    </w:p>
    <w:p w:rsidR="00445D92" w:rsidRPr="00045E0A" w:rsidRDefault="00AB6ADB" w:rsidP="00AB6ADB">
      <w:pPr>
        <w:pStyle w:val="a9"/>
        <w:numPr>
          <w:ilvl w:val="0"/>
          <w:numId w:val="1"/>
        </w:numPr>
        <w:ind w:firstLineChars="0"/>
        <w:rPr>
          <w:b/>
          <w:sz w:val="28"/>
          <w:szCs w:val="32"/>
        </w:rPr>
      </w:pPr>
      <w:r w:rsidRPr="00045E0A">
        <w:rPr>
          <w:rFonts w:hint="eastAsia"/>
          <w:b/>
          <w:sz w:val="28"/>
          <w:szCs w:val="32"/>
        </w:rPr>
        <w:t>项目功能需求</w:t>
      </w:r>
    </w:p>
    <w:p w:rsidR="00AB6ADB" w:rsidRPr="003834D3" w:rsidRDefault="00AB6ADB" w:rsidP="00AB6ADB">
      <w:pPr>
        <w:pStyle w:val="a0"/>
        <w:spacing w:line="360" w:lineRule="auto"/>
        <w:ind w:firstLineChars="0" w:firstLine="0"/>
        <w:rPr>
          <w:rFonts w:ascii="宋体" w:hAnsi="宋体" w:cs="方正楷体_GBK"/>
          <w:sz w:val="24"/>
          <w:szCs w:val="24"/>
        </w:rPr>
      </w:pPr>
      <w:r w:rsidRPr="003834D3">
        <w:rPr>
          <w:rFonts w:ascii="宋体" w:hAnsi="宋体" w:cs="方正楷体_GBK" w:hint="eastAsia"/>
          <w:sz w:val="24"/>
          <w:szCs w:val="24"/>
        </w:rPr>
        <w:t>（1）绩效考核指标系统</w:t>
      </w:r>
    </w:p>
    <w:tbl>
      <w:tblPr>
        <w:tblW w:w="4714" w:type="pct"/>
        <w:tblInd w:w="250" w:type="dxa"/>
        <w:tblLayout w:type="fixed"/>
        <w:tblLook w:val="04A0" w:firstRow="1" w:lastRow="0" w:firstColumn="1" w:lastColumn="0" w:noHBand="0" w:noVBand="1"/>
      </w:tblPr>
      <w:tblGrid>
        <w:gridCol w:w="414"/>
        <w:gridCol w:w="693"/>
        <w:gridCol w:w="1109"/>
        <w:gridCol w:w="5819"/>
      </w:tblGrid>
      <w:tr w:rsidR="00AB6ADB" w:rsidTr="00AB6ADB">
        <w:trPr>
          <w:trHeight w:val="300"/>
        </w:trPr>
        <w:tc>
          <w:tcPr>
            <w:tcW w:w="258"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43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b/>
                <w:bCs/>
                <w:color w:val="000000"/>
                <w:kern w:val="0"/>
                <w:szCs w:val="21"/>
              </w:rPr>
            </w:pPr>
            <w:r>
              <w:rPr>
                <w:rFonts w:ascii="宋体" w:hAnsi="宋体" w:cs="宋体" w:hint="eastAsia"/>
                <w:b/>
                <w:bCs/>
                <w:color w:val="000000"/>
                <w:kern w:val="0"/>
                <w:szCs w:val="21"/>
              </w:rPr>
              <w:t>模块</w:t>
            </w:r>
          </w:p>
        </w:tc>
        <w:tc>
          <w:tcPr>
            <w:tcW w:w="690"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b/>
                <w:bCs/>
                <w:color w:val="000000"/>
                <w:kern w:val="0"/>
                <w:szCs w:val="21"/>
              </w:rPr>
            </w:pPr>
            <w:r>
              <w:rPr>
                <w:rFonts w:ascii="宋体" w:hAnsi="宋体" w:cs="宋体" w:hint="eastAsia"/>
                <w:b/>
                <w:bCs/>
                <w:color w:val="000000"/>
                <w:kern w:val="0"/>
                <w:szCs w:val="21"/>
              </w:rPr>
              <w:t>一级功能</w:t>
            </w: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b/>
                <w:bCs/>
                <w:color w:val="000000"/>
                <w:kern w:val="0"/>
                <w:szCs w:val="21"/>
              </w:rPr>
            </w:pPr>
            <w:r>
              <w:rPr>
                <w:rFonts w:ascii="宋体" w:hAnsi="宋体" w:cs="宋体" w:hint="eastAsia"/>
                <w:b/>
                <w:bCs/>
                <w:color w:val="000000"/>
                <w:kern w:val="0"/>
                <w:szCs w:val="21"/>
              </w:rPr>
              <w:t>详细技术参数</w:t>
            </w:r>
          </w:p>
        </w:tc>
      </w:tr>
      <w:tr w:rsidR="00AB6ADB" w:rsidTr="00AB6ADB">
        <w:trPr>
          <w:trHeight w:val="278"/>
        </w:trPr>
        <w:tc>
          <w:tcPr>
            <w:tcW w:w="258" w:type="pct"/>
            <w:vMerge w:val="restar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431" w:type="pct"/>
            <w:vMerge w:val="restar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指标管理</w:t>
            </w:r>
          </w:p>
        </w:tc>
        <w:tc>
          <w:tcPr>
            <w:tcW w:w="690" w:type="pct"/>
            <w:vMerge w:val="restar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指标信息管理</w:t>
            </w: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支持指标根据不同指标类型展示，可筛选。</w:t>
            </w:r>
          </w:p>
        </w:tc>
      </w:tr>
      <w:tr w:rsidR="00AB6ADB" w:rsidTr="00AB6ADB">
        <w:trPr>
          <w:trHeight w:val="555"/>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支持指标层级、取数方式、标签启</w:t>
            </w:r>
            <w:proofErr w:type="gramStart"/>
            <w:r>
              <w:rPr>
                <w:rFonts w:ascii="宋体" w:hAnsi="宋体" w:cs="宋体" w:hint="eastAsia"/>
                <w:color w:val="000000" w:themeColor="text1"/>
                <w:kern w:val="0"/>
                <w:sz w:val="20"/>
                <w:szCs w:val="20"/>
              </w:rPr>
              <w:t>停状态</w:t>
            </w:r>
            <w:proofErr w:type="gramEnd"/>
            <w:r>
              <w:rPr>
                <w:rFonts w:ascii="宋体" w:hAnsi="宋体" w:cs="宋体" w:hint="eastAsia"/>
                <w:color w:val="000000" w:themeColor="text1"/>
                <w:kern w:val="0"/>
                <w:sz w:val="20"/>
                <w:szCs w:val="20"/>
              </w:rPr>
              <w:t>筛选，可按照指标编码/名称模糊查询。</w:t>
            </w:r>
          </w:p>
        </w:tc>
      </w:tr>
      <w:tr w:rsidR="00AB6ADB" w:rsidTr="00AB6ADB">
        <w:trPr>
          <w:trHeight w:val="278"/>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▲支持新增、复制新增、编辑、删除指标。</w:t>
            </w:r>
          </w:p>
        </w:tc>
      </w:tr>
      <w:tr w:rsidR="00AB6ADB" w:rsidTr="00AB6ADB">
        <w:trPr>
          <w:trHeight w:val="1340"/>
        </w:trPr>
        <w:tc>
          <w:tcPr>
            <w:tcW w:w="258"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指标属性</w:t>
            </w: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维护指标的基本属性，包含指标类型、指标性质、指标名称、指标编码、指标导向（趋势要求）、国家编码、指标来源、指标层级、时间维度、单位、指标定义、取数方式、URL、图标、意义、说明、指标标签、备注。</w:t>
            </w:r>
          </w:p>
        </w:tc>
      </w:tr>
      <w:tr w:rsidR="00AB6ADB" w:rsidTr="00AB6ADB">
        <w:trPr>
          <w:trHeight w:val="278"/>
        </w:trPr>
        <w:tc>
          <w:tcPr>
            <w:tcW w:w="258" w:type="pct"/>
            <w:vMerge w:val="restar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val="restar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指标类型</w:t>
            </w: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支持新增指标类型，可维护一级类型名称、二级类型名称、三级</w:t>
            </w:r>
            <w:r>
              <w:rPr>
                <w:rFonts w:ascii="宋体" w:hAnsi="宋体" w:cs="宋体" w:hint="eastAsia"/>
                <w:color w:val="000000" w:themeColor="text1"/>
                <w:kern w:val="0"/>
                <w:sz w:val="20"/>
                <w:szCs w:val="20"/>
              </w:rPr>
              <w:lastRenderedPageBreak/>
              <w:t>类型名称。</w:t>
            </w:r>
          </w:p>
        </w:tc>
      </w:tr>
      <w:tr w:rsidR="00AB6ADB" w:rsidTr="00AB6ADB">
        <w:trPr>
          <w:trHeight w:val="278"/>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支持类型名称模糊查询。</w:t>
            </w:r>
          </w:p>
        </w:tc>
      </w:tr>
      <w:tr w:rsidR="00AB6ADB" w:rsidTr="00AB6ADB">
        <w:trPr>
          <w:trHeight w:val="278"/>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支持指标类型编辑、删除、同级类型排序。</w:t>
            </w:r>
          </w:p>
        </w:tc>
      </w:tr>
      <w:tr w:rsidR="00AB6ADB" w:rsidTr="00AB6ADB">
        <w:trPr>
          <w:trHeight w:val="278"/>
        </w:trPr>
        <w:tc>
          <w:tcPr>
            <w:tcW w:w="258" w:type="pct"/>
            <w:vMerge w:val="restar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val="restar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指标标签</w:t>
            </w: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支持新增标签，可设置标签名称，可设置指标人员分类标签。</w:t>
            </w:r>
          </w:p>
        </w:tc>
      </w:tr>
      <w:tr w:rsidR="00AB6ADB" w:rsidTr="00AB6ADB">
        <w:trPr>
          <w:trHeight w:val="278"/>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支持标签名称模糊查询，启</w:t>
            </w:r>
            <w:proofErr w:type="gramStart"/>
            <w:r>
              <w:rPr>
                <w:rFonts w:ascii="宋体" w:hAnsi="宋体" w:cs="宋体" w:hint="eastAsia"/>
                <w:color w:val="000000" w:themeColor="text1"/>
                <w:kern w:val="0"/>
                <w:sz w:val="20"/>
                <w:szCs w:val="20"/>
              </w:rPr>
              <w:t>停状态</w:t>
            </w:r>
            <w:proofErr w:type="gramEnd"/>
            <w:r>
              <w:rPr>
                <w:rFonts w:ascii="宋体" w:hAnsi="宋体" w:cs="宋体" w:hint="eastAsia"/>
                <w:color w:val="000000" w:themeColor="text1"/>
                <w:kern w:val="0"/>
                <w:sz w:val="20"/>
                <w:szCs w:val="20"/>
              </w:rPr>
              <w:t>筛选</w:t>
            </w:r>
          </w:p>
        </w:tc>
      </w:tr>
      <w:tr w:rsidR="00AB6ADB" w:rsidTr="00AB6ADB">
        <w:trPr>
          <w:trHeight w:val="278"/>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支持标签启停、编辑、删除、排序</w:t>
            </w:r>
          </w:p>
        </w:tc>
      </w:tr>
      <w:tr w:rsidR="00AB6ADB" w:rsidTr="00AB6ADB">
        <w:trPr>
          <w:trHeight w:val="257"/>
        </w:trPr>
        <w:tc>
          <w:tcPr>
            <w:tcW w:w="258" w:type="pct"/>
            <w:vMerge w:val="restart"/>
            <w:tcBorders>
              <w:top w:val="single" w:sz="4" w:space="0" w:color="000000"/>
              <w:left w:val="single" w:sz="4" w:space="0" w:color="000000"/>
              <w:bottom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431" w:type="pct"/>
            <w:vMerge w:val="restar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方案管理</w:t>
            </w:r>
          </w:p>
        </w:tc>
        <w:tc>
          <w:tcPr>
            <w:tcW w:w="690" w:type="pct"/>
            <w:vMerge w:val="restart"/>
            <w:tcBorders>
              <w:top w:val="single" w:sz="4" w:space="0" w:color="000000"/>
              <w:left w:val="single" w:sz="4" w:space="0" w:color="000000"/>
              <w:bottom w:val="single" w:sz="4" w:space="0" w:color="000000"/>
              <w:right w:val="single" w:sz="4" w:space="0" w:color="000000"/>
            </w:tcBorders>
            <w:noWrap/>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方案管理</w:t>
            </w:r>
          </w:p>
        </w:tc>
        <w:tc>
          <w:tcPr>
            <w:tcW w:w="3621" w:type="pct"/>
            <w:tcBorders>
              <w:top w:val="single" w:sz="4" w:space="0" w:color="000000"/>
              <w:left w:val="single" w:sz="4" w:space="0" w:color="000000"/>
              <w:bottom w:val="single" w:sz="4" w:space="0" w:color="000000"/>
              <w:right w:val="single" w:sz="4" w:space="0" w:color="000000"/>
            </w:tcBorders>
            <w:noWrap/>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支持根据不同的监管科室、执行科室配置不同的监管方案，用于区分指标监测展示时的查看范围。</w:t>
            </w:r>
          </w:p>
        </w:tc>
      </w:tr>
      <w:tr w:rsidR="00AB6ADB" w:rsidTr="00AB6ADB">
        <w:trPr>
          <w:trHeight w:val="277"/>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noWrap/>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支持不同的方案从指标库中添加不同的指标。</w:t>
            </w:r>
          </w:p>
        </w:tc>
      </w:tr>
      <w:tr w:rsidR="00AB6ADB" w:rsidTr="00AB6ADB">
        <w:trPr>
          <w:trHeight w:val="278"/>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支持对方案进行启停、编辑、删除。</w:t>
            </w:r>
          </w:p>
        </w:tc>
      </w:tr>
      <w:tr w:rsidR="00AB6ADB" w:rsidTr="00AB6ADB">
        <w:trPr>
          <w:trHeight w:val="278"/>
        </w:trPr>
        <w:tc>
          <w:tcPr>
            <w:tcW w:w="258" w:type="pct"/>
            <w:vMerge w:val="restart"/>
            <w:tcBorders>
              <w:top w:val="single" w:sz="4" w:space="0" w:color="000000"/>
              <w:left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6</w:t>
            </w: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val="restart"/>
            <w:tcBorders>
              <w:top w:val="single" w:sz="4" w:space="0" w:color="000000"/>
              <w:left w:val="single" w:sz="4" w:space="0" w:color="000000"/>
              <w:right w:val="single" w:sz="4" w:space="0" w:color="000000"/>
            </w:tcBorders>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目标管理</w:t>
            </w: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支持根据方案层级分级设置机构、院级、科级目标。</w:t>
            </w:r>
          </w:p>
        </w:tc>
      </w:tr>
      <w:tr w:rsidR="00AB6ADB" w:rsidTr="00AB6ADB">
        <w:trPr>
          <w:trHeight w:val="278"/>
        </w:trPr>
        <w:tc>
          <w:tcPr>
            <w:tcW w:w="258" w:type="pct"/>
            <w:vMerge/>
            <w:tcBorders>
              <w:left w:val="single" w:sz="4" w:space="0" w:color="000000"/>
              <w:bottom w:val="single" w:sz="4" w:space="0" w:color="auto"/>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auto"/>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left w:val="single" w:sz="4" w:space="0" w:color="000000"/>
              <w:bottom w:val="single" w:sz="4" w:space="0" w:color="000000"/>
              <w:right w:val="single" w:sz="4" w:space="0" w:color="000000"/>
            </w:tcBorders>
            <w:vAlign w:val="center"/>
          </w:tcPr>
          <w:p w:rsidR="00AB6ADB" w:rsidRDefault="00AB6ADB" w:rsidP="00560E5C">
            <w:pPr>
              <w:widowControl/>
              <w:jc w:val="center"/>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支持目标批量快捷设置，批量应用。</w:t>
            </w:r>
          </w:p>
        </w:tc>
      </w:tr>
      <w:tr w:rsidR="00AB6ADB" w:rsidTr="00AB6ADB">
        <w:trPr>
          <w:trHeight w:val="278"/>
        </w:trPr>
        <w:tc>
          <w:tcPr>
            <w:tcW w:w="258" w:type="pct"/>
            <w:vMerge w:val="restart"/>
            <w:tcBorders>
              <w:top w:val="single" w:sz="4" w:space="0" w:color="auto"/>
              <w:left w:val="single" w:sz="4" w:space="0" w:color="000000"/>
              <w:bottom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431" w:type="pct"/>
            <w:vMerge w:val="restart"/>
            <w:tcBorders>
              <w:top w:val="single" w:sz="4" w:space="0" w:color="auto"/>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r>
              <w:rPr>
                <w:rFonts w:ascii="宋体" w:hAnsi="宋体" w:cs="宋体" w:hint="eastAsia"/>
                <w:color w:val="000000"/>
                <w:kern w:val="0"/>
                <w:sz w:val="20"/>
                <w:szCs w:val="20"/>
              </w:rPr>
              <w:t>指标数据填报</w:t>
            </w:r>
          </w:p>
        </w:tc>
        <w:tc>
          <w:tcPr>
            <w:tcW w:w="690" w:type="pct"/>
            <w:vMerge w:val="restart"/>
            <w:tcBorders>
              <w:top w:val="single" w:sz="4" w:space="0" w:color="000000"/>
              <w:left w:val="single" w:sz="4" w:space="0" w:color="000000"/>
              <w:bottom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kern w:val="0"/>
                <w:sz w:val="20"/>
                <w:szCs w:val="20"/>
              </w:rPr>
            </w:pPr>
            <w:r>
              <w:rPr>
                <w:rFonts w:ascii="宋体" w:hAnsi="宋体" w:cs="宋体" w:hint="eastAsia"/>
                <w:color w:val="000000"/>
                <w:kern w:val="0"/>
                <w:sz w:val="20"/>
                <w:szCs w:val="20"/>
              </w:rPr>
              <w:t>数据填报确认</w:t>
            </w: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支持填报状态、年份、分工科室筛选，提交/审核人员模糊查询。</w:t>
            </w:r>
          </w:p>
        </w:tc>
      </w:tr>
      <w:tr w:rsidR="00AB6ADB" w:rsidTr="00AB6ADB">
        <w:trPr>
          <w:trHeight w:val="278"/>
        </w:trPr>
        <w:tc>
          <w:tcPr>
            <w:tcW w:w="258" w:type="pct"/>
            <w:vMerge/>
            <w:tcBorders>
              <w:left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left w:val="single" w:sz="4" w:space="0" w:color="000000"/>
              <w:right w:val="single" w:sz="4" w:space="0" w:color="000000"/>
            </w:tcBorders>
            <w:noWrap/>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支持指标数据按机构、院区、科室进行手工填报，并标注不达标原因。</w:t>
            </w:r>
          </w:p>
        </w:tc>
      </w:tr>
      <w:tr w:rsidR="00AB6ADB" w:rsidTr="00AB6ADB">
        <w:trPr>
          <w:trHeight w:val="278"/>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支持数据填报时查看预先设置的目标值进行填报参考。</w:t>
            </w:r>
          </w:p>
        </w:tc>
      </w:tr>
      <w:tr w:rsidR="00AB6ADB" w:rsidTr="00AB6ADB">
        <w:trPr>
          <w:trHeight w:val="278"/>
        </w:trPr>
        <w:tc>
          <w:tcPr>
            <w:tcW w:w="258"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690"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支持填报的数据进行多级审核，审核确认后才可展示。</w:t>
            </w:r>
          </w:p>
        </w:tc>
      </w:tr>
      <w:tr w:rsidR="00AB6ADB" w:rsidTr="00AB6ADB">
        <w:trPr>
          <w:trHeight w:val="555"/>
        </w:trPr>
        <w:tc>
          <w:tcPr>
            <w:tcW w:w="258" w:type="pct"/>
            <w:vMerge w:val="restart"/>
            <w:tcBorders>
              <w:top w:val="single" w:sz="4" w:space="0" w:color="auto"/>
              <w:left w:val="single" w:sz="4" w:space="0" w:color="000000"/>
              <w:bottom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8</w:t>
            </w:r>
          </w:p>
        </w:tc>
        <w:tc>
          <w:tcPr>
            <w:tcW w:w="431" w:type="pct"/>
            <w:vMerge w:val="restart"/>
            <w:tcBorders>
              <w:top w:val="single" w:sz="4" w:space="0" w:color="auto"/>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指标监控展示</w:t>
            </w:r>
          </w:p>
        </w:tc>
        <w:tc>
          <w:tcPr>
            <w:tcW w:w="690" w:type="pct"/>
            <w:vMerge w:val="restart"/>
            <w:tcBorders>
              <w:top w:val="single" w:sz="4" w:space="0" w:color="auto"/>
              <w:left w:val="single" w:sz="4" w:space="0" w:color="000000"/>
              <w:bottom w:val="single" w:sz="4" w:space="0" w:color="000000"/>
              <w:right w:val="single" w:sz="4" w:space="0" w:color="000000"/>
            </w:tcBorders>
            <w:noWrap/>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数据查看</w:t>
            </w: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roofErr w:type="gramStart"/>
            <w:r>
              <w:rPr>
                <w:rFonts w:ascii="宋体" w:hAnsi="宋体" w:cs="宋体" w:hint="eastAsia"/>
                <w:color w:val="000000" w:themeColor="text1"/>
                <w:kern w:val="0"/>
                <w:sz w:val="20"/>
                <w:szCs w:val="20"/>
              </w:rPr>
              <w:t>指标指标</w:t>
            </w:r>
            <w:proofErr w:type="gramEnd"/>
            <w:r>
              <w:rPr>
                <w:rFonts w:ascii="宋体" w:hAnsi="宋体" w:cs="宋体" w:hint="eastAsia"/>
                <w:color w:val="000000" w:themeColor="text1"/>
                <w:kern w:val="0"/>
                <w:sz w:val="20"/>
                <w:szCs w:val="20"/>
              </w:rPr>
              <w:t>类型、指标标签筛选数据，支持按照时间维度，如年、月等筛选指标数据。</w:t>
            </w:r>
          </w:p>
        </w:tc>
      </w:tr>
      <w:tr w:rsidR="00AB6ADB" w:rsidTr="00AB6ADB">
        <w:trPr>
          <w:trHeight w:val="555"/>
        </w:trPr>
        <w:tc>
          <w:tcPr>
            <w:tcW w:w="258" w:type="pct"/>
            <w:vMerge/>
            <w:tcBorders>
              <w:left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themeColor="text1"/>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left w:val="single" w:sz="4" w:space="0" w:color="000000"/>
              <w:right w:val="single" w:sz="4" w:space="0" w:color="000000"/>
            </w:tcBorders>
            <w:noWrap/>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支持区</w:t>
            </w:r>
            <w:proofErr w:type="gramStart"/>
            <w:r>
              <w:rPr>
                <w:rFonts w:ascii="宋体" w:hAnsi="宋体" w:cs="宋体" w:hint="eastAsia"/>
                <w:color w:val="000000" w:themeColor="text1"/>
                <w:kern w:val="0"/>
                <w:sz w:val="20"/>
                <w:szCs w:val="20"/>
              </w:rPr>
              <w:t>分院级指标</w:t>
            </w:r>
            <w:proofErr w:type="gramEnd"/>
            <w:r>
              <w:rPr>
                <w:rFonts w:ascii="宋体" w:hAnsi="宋体" w:cs="宋体" w:hint="eastAsia"/>
                <w:color w:val="000000" w:themeColor="text1"/>
                <w:kern w:val="0"/>
                <w:sz w:val="20"/>
                <w:szCs w:val="20"/>
              </w:rPr>
              <w:t>数据、科级指标数据</w:t>
            </w:r>
          </w:p>
        </w:tc>
      </w:tr>
      <w:tr w:rsidR="00AB6ADB" w:rsidTr="00AB6ADB">
        <w:trPr>
          <w:trHeight w:val="555"/>
        </w:trPr>
        <w:tc>
          <w:tcPr>
            <w:tcW w:w="258" w:type="pct"/>
            <w:vMerge/>
            <w:tcBorders>
              <w:left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themeColor="text1"/>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left w:val="single" w:sz="4" w:space="0" w:color="000000"/>
              <w:right w:val="single" w:sz="4" w:space="0" w:color="000000"/>
            </w:tcBorders>
            <w:noWrap/>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支持根据达成率查看指标达标、不达标情况</w:t>
            </w:r>
          </w:p>
        </w:tc>
      </w:tr>
      <w:tr w:rsidR="00AB6ADB" w:rsidTr="00AB6ADB">
        <w:trPr>
          <w:trHeight w:val="555"/>
        </w:trPr>
        <w:tc>
          <w:tcPr>
            <w:tcW w:w="258" w:type="pct"/>
            <w:vMerge/>
            <w:tcBorders>
              <w:left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themeColor="text1"/>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left w:val="single" w:sz="4" w:space="0" w:color="000000"/>
              <w:right w:val="single" w:sz="4" w:space="0" w:color="000000"/>
            </w:tcBorders>
            <w:noWrap/>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支持查看不达标原因</w:t>
            </w:r>
          </w:p>
        </w:tc>
      </w:tr>
      <w:tr w:rsidR="00AB6ADB" w:rsidTr="00AB6ADB">
        <w:trPr>
          <w:trHeight w:val="555"/>
        </w:trPr>
        <w:tc>
          <w:tcPr>
            <w:tcW w:w="258" w:type="pct"/>
            <w:vMerge/>
            <w:tcBorders>
              <w:left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themeColor="text1"/>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left w:val="single" w:sz="4" w:space="0" w:color="000000"/>
              <w:right w:val="single" w:sz="4" w:space="0" w:color="000000"/>
            </w:tcBorders>
            <w:noWrap/>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支持根据不同人员角色查看不同的指标范围</w:t>
            </w:r>
          </w:p>
        </w:tc>
      </w:tr>
      <w:tr w:rsidR="00AB6ADB" w:rsidTr="00AB6ADB">
        <w:trPr>
          <w:trHeight w:val="555"/>
        </w:trPr>
        <w:tc>
          <w:tcPr>
            <w:tcW w:w="258" w:type="pct"/>
            <w:vMerge/>
            <w:tcBorders>
              <w:left w:val="single" w:sz="4" w:space="0" w:color="000000"/>
              <w:right w:val="single" w:sz="4" w:space="0" w:color="000000"/>
            </w:tcBorders>
            <w:noWrap/>
            <w:vAlign w:val="center"/>
          </w:tcPr>
          <w:p w:rsidR="00AB6ADB" w:rsidRDefault="00AB6ADB" w:rsidP="00560E5C">
            <w:pPr>
              <w:widowControl/>
              <w:jc w:val="center"/>
              <w:rPr>
                <w:rFonts w:ascii="宋体" w:hAnsi="宋体" w:cs="宋体"/>
                <w:color w:val="000000" w:themeColor="text1"/>
                <w:kern w:val="0"/>
                <w:sz w:val="20"/>
                <w:szCs w:val="20"/>
              </w:rPr>
            </w:pPr>
          </w:p>
        </w:tc>
        <w:tc>
          <w:tcPr>
            <w:tcW w:w="431" w:type="pct"/>
            <w:vMerge/>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left w:val="single" w:sz="4" w:space="0" w:color="000000"/>
              <w:right w:val="single" w:sz="4" w:space="0" w:color="000000"/>
            </w:tcBorders>
            <w:noWrap/>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000000"/>
              <w:left w:val="single" w:sz="4" w:space="0" w:color="000000"/>
              <w:bottom w:val="single" w:sz="4" w:space="0" w:color="000000"/>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支持导出指标分析结果Excel表格，包含总指标数、达标情况、达标率、不达标数等</w:t>
            </w:r>
          </w:p>
        </w:tc>
      </w:tr>
      <w:tr w:rsidR="00AB6ADB" w:rsidTr="00AB6ADB">
        <w:trPr>
          <w:trHeight w:val="278"/>
        </w:trPr>
        <w:tc>
          <w:tcPr>
            <w:tcW w:w="258" w:type="pct"/>
            <w:vMerge/>
            <w:tcBorders>
              <w:top w:val="single" w:sz="4" w:space="0" w:color="000000"/>
              <w:left w:val="single" w:sz="4" w:space="0" w:color="000000"/>
              <w:bottom w:val="single" w:sz="4" w:space="0" w:color="auto"/>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000000"/>
              <w:left w:val="single" w:sz="4" w:space="0" w:color="000000"/>
              <w:bottom w:val="single" w:sz="4" w:space="0" w:color="auto"/>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000000"/>
              <w:left w:val="single" w:sz="4" w:space="0" w:color="000000"/>
              <w:bottom w:val="single" w:sz="4" w:space="0" w:color="auto"/>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000000"/>
              <w:left w:val="single" w:sz="4" w:space="0" w:color="000000"/>
              <w:bottom w:val="single" w:sz="4" w:space="0" w:color="auto"/>
              <w:right w:val="single" w:sz="4" w:space="0" w:color="000000"/>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显示的数据为填报确认通过的数据</w:t>
            </w:r>
          </w:p>
        </w:tc>
      </w:tr>
      <w:tr w:rsidR="00AB6ADB" w:rsidTr="00AB6ADB">
        <w:trPr>
          <w:trHeight w:val="278"/>
        </w:trPr>
        <w:tc>
          <w:tcPr>
            <w:tcW w:w="258" w:type="pct"/>
            <w:vMerge w:val="restart"/>
            <w:tcBorders>
              <w:top w:val="single" w:sz="4" w:space="0" w:color="auto"/>
              <w:left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9</w:t>
            </w:r>
          </w:p>
        </w:tc>
        <w:tc>
          <w:tcPr>
            <w:tcW w:w="431" w:type="pct"/>
            <w:vMerge w:val="restar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数据上报核对</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模</w:t>
            </w:r>
            <w:proofErr w:type="gramStart"/>
            <w:r>
              <w:rPr>
                <w:rFonts w:ascii="宋体" w:hAnsi="宋体" w:cs="宋体" w:hint="eastAsia"/>
                <w:color w:val="000000" w:themeColor="text1"/>
                <w:kern w:val="0"/>
                <w:sz w:val="20"/>
                <w:szCs w:val="20"/>
              </w:rPr>
              <w:t>版管理</w:t>
            </w:r>
            <w:proofErr w:type="gramEnd"/>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支持单个指标加入方案，或批量加入方案。</w:t>
            </w:r>
          </w:p>
        </w:tc>
      </w:tr>
      <w:tr w:rsidR="00AB6ADB" w:rsidTr="00AB6ADB">
        <w:trPr>
          <w:trHeight w:val="278"/>
        </w:trPr>
        <w:tc>
          <w:tcPr>
            <w:tcW w:w="258" w:type="pct"/>
            <w:vMerge/>
            <w:tcBorders>
              <w:left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支持已添加的指标设置分工科室、查看科室、行次、显示名称、取数方式、计算方式、累计方式。</w:t>
            </w:r>
          </w:p>
        </w:tc>
      </w:tr>
      <w:tr w:rsidR="00AB6ADB" w:rsidTr="00AB6ADB">
        <w:trPr>
          <w:trHeight w:val="278"/>
        </w:trPr>
        <w:tc>
          <w:tcPr>
            <w:tcW w:w="258" w:type="pct"/>
            <w:vMerge/>
            <w:tcBorders>
              <w:left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▲支持开启/关闭重复指标检测。</w:t>
            </w:r>
          </w:p>
        </w:tc>
      </w:tr>
      <w:tr w:rsidR="00AB6ADB" w:rsidTr="00AB6ADB">
        <w:trPr>
          <w:trHeight w:val="278"/>
        </w:trPr>
        <w:tc>
          <w:tcPr>
            <w:tcW w:w="258" w:type="pct"/>
            <w:vMerge/>
            <w:tcBorders>
              <w:left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▲支持提交时自动显示计算</w:t>
            </w:r>
            <w:proofErr w:type="gramStart"/>
            <w:r>
              <w:rPr>
                <w:rFonts w:ascii="宋体" w:hAnsi="宋体" w:cs="宋体" w:hint="eastAsia"/>
                <w:color w:val="000000" w:themeColor="text1"/>
                <w:kern w:val="0"/>
                <w:sz w:val="20"/>
                <w:szCs w:val="20"/>
              </w:rPr>
              <w:t>型指标</w:t>
            </w:r>
            <w:proofErr w:type="gramEnd"/>
            <w:r>
              <w:rPr>
                <w:rFonts w:ascii="宋体" w:hAnsi="宋体" w:cs="宋体" w:hint="eastAsia"/>
                <w:color w:val="000000" w:themeColor="text1"/>
                <w:kern w:val="0"/>
                <w:sz w:val="20"/>
                <w:szCs w:val="20"/>
              </w:rPr>
              <w:t>计算公式中缺少的指标。</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数据填报</w:t>
            </w: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支持查看、填报界面按分工科室、指标类型查询，指标名称/编码模糊查询</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▲支持显示填报状态，包含待填报、待确认、已确认、待修改。</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支持填报、查看界面显示指标的单月值、累计值、采集值、同期值。</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支持批量导入数据，批量导出数据和下载填报模板。</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支持快捷填入已经采集的数据。</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支持自动校验重复指标的同一月份数据是否一致。</w:t>
            </w:r>
          </w:p>
        </w:tc>
      </w:tr>
      <w:tr w:rsidR="00AB6ADB" w:rsidTr="00AB6ADB">
        <w:trPr>
          <w:trHeight w:val="278"/>
        </w:trPr>
        <w:tc>
          <w:tcPr>
            <w:tcW w:w="258" w:type="pct"/>
            <w:vMerge/>
            <w:tcBorders>
              <w:left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支持查看操作日志，包含操作内容、操作人、操作时间等。</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数据确认</w:t>
            </w: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支持填报状态、填报模板、年份、分工科室筛选，提交/确认人员模糊查询。</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支持查看、确认填报的数据，支持导出数据。</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支持查看、填报界面按分工科室、指标类型查询，按指标名称/编码查询模糊查询</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▲支持显示填报状态，包含待填报、待确认、已确认、待修改。</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支持驳回有问题的数据，并填写驳回理由。</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支持对后续新增的补录指标进行特殊标记。</w:t>
            </w:r>
          </w:p>
        </w:tc>
      </w:tr>
      <w:tr w:rsidR="00AB6ADB" w:rsidTr="00AB6ADB">
        <w:trPr>
          <w:trHeight w:val="278"/>
        </w:trPr>
        <w:tc>
          <w:tcPr>
            <w:tcW w:w="258" w:type="pct"/>
            <w:vMerge/>
            <w:tcBorders>
              <w:left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支持确认、查看界面显示指标的单月值、累计值、采集值、同期值。</w:t>
            </w:r>
          </w:p>
        </w:tc>
      </w:tr>
      <w:tr w:rsidR="00AB6ADB" w:rsidTr="00AB6ADB">
        <w:trPr>
          <w:trHeight w:val="278"/>
        </w:trPr>
        <w:tc>
          <w:tcPr>
            <w:tcW w:w="258" w:type="pct"/>
            <w:vMerge/>
            <w:tcBorders>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431"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690" w:type="pct"/>
            <w:vMerge/>
            <w:tcBorders>
              <w:top w:val="single" w:sz="4" w:space="0" w:color="auto"/>
              <w:left w:val="single" w:sz="4" w:space="0" w:color="auto"/>
              <w:bottom w:val="single" w:sz="4" w:space="0" w:color="auto"/>
              <w:right w:val="single" w:sz="4" w:space="0" w:color="auto"/>
            </w:tcBorders>
          </w:tcPr>
          <w:p w:rsidR="00AB6ADB" w:rsidRDefault="00AB6ADB" w:rsidP="00560E5C">
            <w:pPr>
              <w:widowControl/>
              <w:rPr>
                <w:rFonts w:ascii="宋体" w:hAnsi="宋体" w:cs="宋体"/>
                <w:color w:val="000000" w:themeColor="text1"/>
                <w:kern w:val="0"/>
                <w:sz w:val="20"/>
                <w:szCs w:val="20"/>
              </w:rPr>
            </w:pPr>
          </w:p>
        </w:tc>
        <w:tc>
          <w:tcPr>
            <w:tcW w:w="3621" w:type="pct"/>
            <w:tcBorders>
              <w:top w:val="single" w:sz="4" w:space="0" w:color="auto"/>
              <w:left w:val="single" w:sz="4" w:space="0" w:color="auto"/>
              <w:bottom w:val="single" w:sz="4" w:space="0" w:color="auto"/>
              <w:right w:val="single" w:sz="4" w:space="0" w:color="auto"/>
            </w:tcBorders>
            <w:vAlign w:val="center"/>
          </w:tcPr>
          <w:p w:rsidR="00AB6ADB" w:rsidRDefault="00AB6ADB" w:rsidP="00560E5C">
            <w:pPr>
              <w:widowControl/>
              <w:rPr>
                <w:rFonts w:ascii="宋体" w:hAnsi="宋体" w:cs="宋体"/>
                <w:color w:val="000000" w:themeColor="text1"/>
                <w:kern w:val="0"/>
                <w:sz w:val="20"/>
                <w:szCs w:val="20"/>
              </w:rPr>
            </w:pPr>
            <w:r>
              <w:rPr>
                <w:rFonts w:ascii="宋体" w:hAnsi="宋体" w:cs="宋体" w:hint="eastAsia"/>
                <w:color w:val="000000" w:themeColor="text1"/>
                <w:kern w:val="0"/>
                <w:sz w:val="20"/>
                <w:szCs w:val="20"/>
              </w:rPr>
              <w:t>支持查看操作日志，包含操作内容、操作人、操作时间等。</w:t>
            </w:r>
          </w:p>
        </w:tc>
      </w:tr>
    </w:tbl>
    <w:p w:rsidR="003834D3" w:rsidRPr="00F16FF0" w:rsidRDefault="00F16FF0" w:rsidP="00F16FF0">
      <w:pPr>
        <w:pStyle w:val="a0"/>
        <w:spacing w:line="360" w:lineRule="auto"/>
        <w:ind w:firstLineChars="0" w:firstLine="0"/>
        <w:rPr>
          <w:rFonts w:ascii="宋体" w:hAnsi="宋体" w:cs="方正楷体_GBK"/>
          <w:sz w:val="24"/>
          <w:szCs w:val="24"/>
        </w:rPr>
      </w:pPr>
      <w:r>
        <w:rPr>
          <w:rFonts w:ascii="宋体" w:hAnsi="宋体" w:cs="方正楷体_GBK" w:hint="eastAsia"/>
          <w:sz w:val="24"/>
          <w:szCs w:val="24"/>
        </w:rPr>
        <w:t>（2）</w:t>
      </w:r>
      <w:r w:rsidR="00AB6ADB" w:rsidRPr="00F16FF0">
        <w:rPr>
          <w:rFonts w:ascii="宋体" w:hAnsi="宋体" w:cs="方正楷体_GBK" w:hint="eastAsia"/>
          <w:sz w:val="24"/>
          <w:szCs w:val="24"/>
        </w:rPr>
        <w:t>本次项目涉及指标如下：</w:t>
      </w:r>
    </w:p>
    <w:p w:rsidR="003834D3" w:rsidRDefault="00AB6ADB" w:rsidP="003E7CCD">
      <w:pPr>
        <w:pStyle w:val="a0"/>
        <w:numPr>
          <w:ilvl w:val="0"/>
          <w:numId w:val="7"/>
        </w:numPr>
        <w:spacing w:line="360" w:lineRule="auto"/>
        <w:ind w:firstLineChars="0"/>
        <w:rPr>
          <w:rFonts w:ascii="宋体" w:hAnsi="宋体" w:cs="方正楷体_GBK"/>
          <w:sz w:val="24"/>
          <w:szCs w:val="24"/>
        </w:rPr>
      </w:pPr>
      <w:r w:rsidRPr="00F16FF0">
        <w:rPr>
          <w:rFonts w:ascii="宋体" w:hAnsi="宋体" w:cs="方正楷体_GBK" w:hint="eastAsia"/>
          <w:sz w:val="24"/>
          <w:szCs w:val="24"/>
        </w:rPr>
        <w:t>汕头大学精神卫生中心2025年医疗质量安全管理数据目标值指标213个</w:t>
      </w:r>
      <w:r w:rsidR="003E7CCD" w:rsidRPr="00F16FF0">
        <w:rPr>
          <w:rFonts w:ascii="宋体" w:hAnsi="宋体" w:cs="方正楷体_GBK" w:hint="eastAsia"/>
          <w:sz w:val="24"/>
          <w:szCs w:val="24"/>
        </w:rPr>
        <w:t>；</w:t>
      </w:r>
    </w:p>
    <w:p w:rsidR="003834D3" w:rsidRDefault="00AB6ADB" w:rsidP="003E7CCD">
      <w:pPr>
        <w:pStyle w:val="a0"/>
        <w:numPr>
          <w:ilvl w:val="0"/>
          <w:numId w:val="7"/>
        </w:numPr>
        <w:spacing w:line="360" w:lineRule="auto"/>
        <w:ind w:firstLineChars="0"/>
        <w:rPr>
          <w:rFonts w:ascii="宋体" w:hAnsi="宋体" w:cs="方正楷体_GBK"/>
          <w:sz w:val="24"/>
          <w:szCs w:val="24"/>
        </w:rPr>
      </w:pPr>
      <w:r w:rsidRPr="00F16FF0">
        <w:rPr>
          <w:rFonts w:ascii="宋体" w:hAnsi="宋体" w:cs="方正楷体_GBK" w:hint="eastAsia"/>
          <w:sz w:val="24"/>
          <w:szCs w:val="24"/>
        </w:rPr>
        <w:t>汕头大学精神卫生中心数据库建设</w:t>
      </w:r>
      <w:proofErr w:type="gramStart"/>
      <w:r w:rsidRPr="00F16FF0">
        <w:rPr>
          <w:rFonts w:ascii="宋体" w:hAnsi="宋体" w:cs="方正楷体_GBK" w:hint="eastAsia"/>
          <w:sz w:val="24"/>
          <w:szCs w:val="24"/>
        </w:rPr>
        <w:t>医</w:t>
      </w:r>
      <w:proofErr w:type="gramEnd"/>
      <w:r w:rsidRPr="00F16FF0">
        <w:rPr>
          <w:rFonts w:ascii="宋体" w:hAnsi="宋体" w:cs="方正楷体_GBK" w:hint="eastAsia"/>
          <w:sz w:val="24"/>
          <w:szCs w:val="24"/>
        </w:rPr>
        <w:t>保管</w:t>
      </w:r>
      <w:proofErr w:type="gramStart"/>
      <w:r w:rsidRPr="00F16FF0">
        <w:rPr>
          <w:rFonts w:ascii="宋体" w:hAnsi="宋体" w:cs="方正楷体_GBK" w:hint="eastAsia"/>
          <w:sz w:val="24"/>
          <w:szCs w:val="24"/>
        </w:rPr>
        <w:t>理数据</w:t>
      </w:r>
      <w:proofErr w:type="gramEnd"/>
      <w:r w:rsidRPr="00F16FF0">
        <w:rPr>
          <w:rFonts w:ascii="宋体" w:hAnsi="宋体" w:cs="方正楷体_GBK" w:hint="eastAsia"/>
          <w:sz w:val="24"/>
          <w:szCs w:val="24"/>
        </w:rPr>
        <w:t>5个</w:t>
      </w:r>
      <w:r w:rsidR="003E7CCD" w:rsidRPr="00F16FF0">
        <w:rPr>
          <w:rFonts w:ascii="宋体" w:hAnsi="宋体" w:cs="方正楷体_GBK" w:hint="eastAsia"/>
          <w:sz w:val="24"/>
          <w:szCs w:val="24"/>
        </w:rPr>
        <w:t>；</w:t>
      </w:r>
    </w:p>
    <w:p w:rsidR="00AB6ADB" w:rsidRPr="003834D3" w:rsidRDefault="00AB6ADB" w:rsidP="003E7CCD">
      <w:pPr>
        <w:pStyle w:val="a0"/>
        <w:numPr>
          <w:ilvl w:val="0"/>
          <w:numId w:val="7"/>
        </w:numPr>
        <w:spacing w:line="360" w:lineRule="auto"/>
        <w:ind w:firstLineChars="0"/>
        <w:rPr>
          <w:rFonts w:ascii="宋体" w:hAnsi="宋体" w:cs="方正楷体_GBK"/>
          <w:sz w:val="24"/>
          <w:szCs w:val="24"/>
        </w:rPr>
      </w:pPr>
      <w:r w:rsidRPr="00F16FF0">
        <w:rPr>
          <w:rFonts w:ascii="宋体" w:hAnsi="宋体" w:cs="方正楷体_GBK" w:hint="eastAsia"/>
          <w:sz w:val="24"/>
          <w:szCs w:val="24"/>
        </w:rPr>
        <w:t>汕头大学精神卫生中心</w:t>
      </w:r>
      <w:r w:rsidRPr="00F16FF0">
        <w:rPr>
          <w:rFonts w:ascii="宋体" w:hAnsi="宋体" w:cs="方正楷体_GBK"/>
          <w:sz w:val="24"/>
          <w:szCs w:val="24"/>
        </w:rPr>
        <w:t>医疗技术质量控制</w:t>
      </w:r>
      <w:r w:rsidRPr="00F16FF0">
        <w:rPr>
          <w:rFonts w:ascii="宋体" w:hAnsi="宋体" w:cs="方正楷体_GBK" w:hint="eastAsia"/>
          <w:sz w:val="24"/>
          <w:szCs w:val="24"/>
        </w:rPr>
        <w:t>监测</w:t>
      </w:r>
      <w:r w:rsidRPr="00F16FF0">
        <w:rPr>
          <w:rFonts w:ascii="宋体" w:hAnsi="宋体" w:cs="方正楷体_GBK"/>
          <w:sz w:val="24"/>
          <w:szCs w:val="24"/>
        </w:rPr>
        <w:t>指标</w:t>
      </w:r>
      <w:r w:rsidRPr="00F16FF0">
        <w:rPr>
          <w:rFonts w:ascii="宋体" w:hAnsi="宋体" w:cs="方正楷体_GBK" w:hint="eastAsia"/>
          <w:sz w:val="24"/>
          <w:szCs w:val="24"/>
        </w:rPr>
        <w:t>11个</w:t>
      </w:r>
      <w:r w:rsidR="003E7CCD" w:rsidRPr="00F16FF0">
        <w:rPr>
          <w:rFonts w:ascii="宋体" w:hAnsi="宋体" w:cs="方正楷体_GBK" w:hint="eastAsia"/>
          <w:sz w:val="24"/>
          <w:szCs w:val="24"/>
        </w:rPr>
        <w:t>。</w:t>
      </w:r>
    </w:p>
    <w:p w:rsidR="00445D92" w:rsidRDefault="00BD009D">
      <w:pPr>
        <w:pStyle w:val="a9"/>
        <w:numPr>
          <w:ilvl w:val="0"/>
          <w:numId w:val="1"/>
        </w:numPr>
        <w:ind w:firstLineChars="0"/>
        <w:rPr>
          <w:rFonts w:eastAsia="黑体"/>
          <w:sz w:val="28"/>
          <w:szCs w:val="28"/>
        </w:rPr>
      </w:pPr>
      <w:r>
        <w:rPr>
          <w:rFonts w:eastAsia="黑体" w:hint="eastAsia"/>
          <w:sz w:val="28"/>
          <w:szCs w:val="28"/>
        </w:rPr>
        <w:t>其他要求</w:t>
      </w:r>
    </w:p>
    <w:p w:rsidR="00AB6ADB" w:rsidRPr="00F16FF0" w:rsidRDefault="00AB6ADB">
      <w:pPr>
        <w:pStyle w:val="a9"/>
        <w:numPr>
          <w:ilvl w:val="0"/>
          <w:numId w:val="2"/>
        </w:numPr>
        <w:spacing w:line="360" w:lineRule="auto"/>
        <w:ind w:firstLineChars="0"/>
        <w:rPr>
          <w:rFonts w:ascii="宋体" w:hAnsi="宋体" w:cs="方正楷体_GBK"/>
          <w:sz w:val="24"/>
          <w:szCs w:val="24"/>
        </w:rPr>
      </w:pPr>
      <w:r w:rsidRPr="00F16FF0">
        <w:rPr>
          <w:rFonts w:ascii="宋体" w:hAnsi="宋体" w:cs="方正楷体_GBK" w:hint="eastAsia"/>
          <w:sz w:val="24"/>
          <w:szCs w:val="24"/>
        </w:rPr>
        <w:t>项目工期：实施交付工期为3个月。</w:t>
      </w:r>
    </w:p>
    <w:p w:rsidR="00445D92" w:rsidRPr="00F16FF0" w:rsidRDefault="00BD009D">
      <w:pPr>
        <w:pStyle w:val="a9"/>
        <w:numPr>
          <w:ilvl w:val="0"/>
          <w:numId w:val="2"/>
        </w:numPr>
        <w:spacing w:line="360" w:lineRule="auto"/>
        <w:ind w:firstLineChars="0"/>
        <w:rPr>
          <w:rFonts w:ascii="宋体" w:hAnsi="宋体" w:cs="方正楷体_GBK"/>
          <w:sz w:val="24"/>
          <w:szCs w:val="24"/>
        </w:rPr>
      </w:pPr>
      <w:r w:rsidRPr="00F16FF0">
        <w:rPr>
          <w:rFonts w:ascii="宋体" w:hAnsi="宋体" w:cs="方正楷体_GBK" w:hint="eastAsia"/>
          <w:sz w:val="24"/>
          <w:szCs w:val="24"/>
        </w:rPr>
        <w:t>接口要求：项目所涉及接口需按照我院前置服务平台标准要求进行建设及对接，详见《前置服务平台接口建设及对接说明》。</w:t>
      </w:r>
    </w:p>
    <w:p w:rsidR="00445D92" w:rsidRPr="00F16FF0" w:rsidRDefault="00BD009D">
      <w:pPr>
        <w:pStyle w:val="a9"/>
        <w:numPr>
          <w:ilvl w:val="0"/>
          <w:numId w:val="2"/>
        </w:numPr>
        <w:spacing w:line="360" w:lineRule="auto"/>
        <w:ind w:firstLineChars="0"/>
        <w:rPr>
          <w:rFonts w:ascii="宋体" w:hAnsi="宋体" w:cs="方正楷体_GBK"/>
          <w:sz w:val="24"/>
          <w:szCs w:val="24"/>
        </w:rPr>
      </w:pPr>
      <w:r w:rsidRPr="00F16FF0">
        <w:rPr>
          <w:rFonts w:ascii="宋体" w:hAnsi="宋体" w:cs="方正楷体_GBK" w:hint="eastAsia"/>
          <w:sz w:val="24"/>
          <w:szCs w:val="24"/>
        </w:rPr>
        <w:t>关于日志：每笔数据传送业务都必须留下日志，日志需要</w:t>
      </w:r>
      <w:proofErr w:type="gramStart"/>
      <w:r w:rsidRPr="00F16FF0">
        <w:rPr>
          <w:rFonts w:ascii="宋体" w:hAnsi="宋体" w:cs="方正楷体_GBK" w:hint="eastAsia"/>
          <w:sz w:val="24"/>
          <w:szCs w:val="24"/>
        </w:rPr>
        <w:t>采用国密算法</w:t>
      </w:r>
      <w:proofErr w:type="gramEnd"/>
      <w:r w:rsidRPr="00F16FF0">
        <w:rPr>
          <w:rFonts w:ascii="宋体" w:hAnsi="宋体" w:cs="方正楷体_GBK" w:hint="eastAsia"/>
          <w:sz w:val="24"/>
          <w:szCs w:val="24"/>
        </w:rPr>
        <w:t>进行加密存储，并提供浏览解密日</w:t>
      </w:r>
      <w:bookmarkStart w:id="0" w:name="_GoBack"/>
      <w:bookmarkEnd w:id="0"/>
      <w:r w:rsidRPr="00F16FF0">
        <w:rPr>
          <w:rFonts w:ascii="宋体" w:hAnsi="宋体" w:cs="方正楷体_GBK" w:hint="eastAsia"/>
          <w:sz w:val="24"/>
          <w:szCs w:val="24"/>
        </w:rPr>
        <w:t>志内容的工具。</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关于软件环境：本项目将按照国家安全可靠工程体系要求开展医疗</w:t>
      </w:r>
      <w:proofErr w:type="gramStart"/>
      <w:r w:rsidRPr="00E12660">
        <w:rPr>
          <w:rFonts w:ascii="宋体" w:hAnsi="宋体" w:cs="方正楷体_GBK" w:hint="eastAsia"/>
          <w:sz w:val="24"/>
          <w:szCs w:val="24"/>
        </w:rPr>
        <w:t>信息系统信创适配</w:t>
      </w:r>
      <w:proofErr w:type="gramEnd"/>
      <w:r w:rsidRPr="00E12660">
        <w:rPr>
          <w:rFonts w:ascii="宋体" w:hAnsi="宋体" w:cs="方正楷体_GBK" w:hint="eastAsia"/>
          <w:sz w:val="24"/>
          <w:szCs w:val="24"/>
        </w:rPr>
        <w:t>试点工作，具体技术规范要求如下：</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（1）基础环境适配要求</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系统运行环境推荐优先基于</w:t>
      </w:r>
      <w:proofErr w:type="spellStart"/>
      <w:r w:rsidRPr="00E12660">
        <w:rPr>
          <w:rFonts w:ascii="宋体" w:hAnsi="宋体" w:cs="方正楷体_GBK" w:hint="eastAsia"/>
          <w:sz w:val="24"/>
          <w:szCs w:val="24"/>
        </w:rPr>
        <w:t>openEuler</w:t>
      </w:r>
      <w:proofErr w:type="spellEnd"/>
      <w:r w:rsidRPr="00E12660">
        <w:rPr>
          <w:rFonts w:ascii="宋体" w:hAnsi="宋体" w:cs="方正楷体_GBK" w:hint="eastAsia"/>
          <w:sz w:val="24"/>
          <w:szCs w:val="24"/>
        </w:rPr>
        <w:t>操作系统完成技术适配，若因技术兼容性问题无法实现，须满足以下条件方可采用替代方案：</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 xml:space="preserve">    1）书面说明：在项目实施方案中详细列明技术障碍的具体原因、测试数据及兼容性分析报告；</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 xml:space="preserve">    2）适配验证：提供不少于三家主流国产操作系统（包括但不限于麒麟、统信、中科方德、普华等）的适配验证报告，且替代系统需满足同等安全可信要求；</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 xml:space="preserve">    3）专家评审程序：评审专家组由采购人代表及外部技术专家共同组成，成员为5人及以上单数，其中技术专家占比不低于60%；技术专家应从省级以上政</w:t>
      </w:r>
      <w:r w:rsidRPr="00E12660">
        <w:rPr>
          <w:rFonts w:ascii="宋体" w:hAnsi="宋体" w:cs="方正楷体_GBK" w:hint="eastAsia"/>
          <w:sz w:val="24"/>
          <w:szCs w:val="24"/>
        </w:rPr>
        <w:lastRenderedPageBreak/>
        <w:t>府采购专家库或行业主管部门认可的专家名单中随机抽取，专业领域需覆盖操作系统、软件开发及信息安全；评审结论需经专家组三分之二以上成员签字确认方为有效。</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涉及数据存储的业务模块推荐优先适配</w:t>
      </w:r>
      <w:proofErr w:type="spellStart"/>
      <w:r w:rsidRPr="00E12660">
        <w:rPr>
          <w:rFonts w:ascii="宋体" w:hAnsi="宋体" w:cs="方正楷体_GBK" w:hint="eastAsia"/>
          <w:sz w:val="24"/>
          <w:szCs w:val="24"/>
        </w:rPr>
        <w:t>openGauss</w:t>
      </w:r>
      <w:proofErr w:type="spellEnd"/>
      <w:r w:rsidRPr="00E12660">
        <w:rPr>
          <w:rFonts w:ascii="宋体" w:hAnsi="宋体" w:cs="方正楷体_GBK" w:hint="eastAsia"/>
          <w:sz w:val="24"/>
          <w:szCs w:val="24"/>
        </w:rPr>
        <w:t>数据库，若因技术兼容性问题无法实现，须满足以下条件方可采用替代方案：</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 xml:space="preserve">    1）书面说明：在项目实施方案中详细列明技术障碍的具体原因、测试数据及兼容性分析报告；</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 xml:space="preserve">    2）适配验证：提供不少于三家主流国产数据库（包括但不限于</w:t>
      </w:r>
      <w:proofErr w:type="gramStart"/>
      <w:r w:rsidRPr="00E12660">
        <w:rPr>
          <w:rFonts w:ascii="宋体" w:hAnsi="宋体" w:cs="方正楷体_GBK" w:hint="eastAsia"/>
          <w:sz w:val="24"/>
          <w:szCs w:val="24"/>
        </w:rPr>
        <w:t>人大金</w:t>
      </w:r>
      <w:proofErr w:type="gramEnd"/>
      <w:r w:rsidRPr="00E12660">
        <w:rPr>
          <w:rFonts w:ascii="宋体" w:hAnsi="宋体" w:cs="方正楷体_GBK" w:hint="eastAsia"/>
          <w:sz w:val="24"/>
          <w:szCs w:val="24"/>
        </w:rPr>
        <w:t>仓、达梦、</w:t>
      </w:r>
      <w:proofErr w:type="spellStart"/>
      <w:r w:rsidRPr="00E12660">
        <w:rPr>
          <w:rFonts w:ascii="宋体" w:hAnsi="宋体" w:cs="方正楷体_GBK" w:hint="eastAsia"/>
          <w:sz w:val="24"/>
          <w:szCs w:val="24"/>
        </w:rPr>
        <w:t>OceanBase</w:t>
      </w:r>
      <w:proofErr w:type="spellEnd"/>
      <w:r w:rsidRPr="00E12660">
        <w:rPr>
          <w:rFonts w:ascii="宋体" w:hAnsi="宋体" w:cs="方正楷体_GBK" w:hint="eastAsia"/>
          <w:sz w:val="24"/>
          <w:szCs w:val="24"/>
        </w:rPr>
        <w:t>、</w:t>
      </w:r>
      <w:proofErr w:type="spellStart"/>
      <w:r w:rsidRPr="00E12660">
        <w:rPr>
          <w:rFonts w:ascii="宋体" w:hAnsi="宋体" w:cs="方正楷体_GBK" w:hint="eastAsia"/>
          <w:sz w:val="24"/>
          <w:szCs w:val="24"/>
        </w:rPr>
        <w:t>GaussDB</w:t>
      </w:r>
      <w:proofErr w:type="spellEnd"/>
      <w:r w:rsidRPr="00E12660">
        <w:rPr>
          <w:rFonts w:ascii="宋体" w:hAnsi="宋体" w:cs="方正楷体_GBK" w:hint="eastAsia"/>
          <w:sz w:val="24"/>
          <w:szCs w:val="24"/>
        </w:rPr>
        <w:t xml:space="preserve">等）的适配验证报告，且替代系统需满足同等安全可信要求； </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 xml:space="preserve">    3）专家评审程序：评审专家组由采购人代表及外部技术专家共同组成，成员为5人及以上单数，其中技术专家占比不低于60%；技术专家应从省级以上政府采购专家库或行业主管部门认可的专家名单中随机抽取，专业领域需覆盖数据库、软件开发及信息安全；评审结论需经专家组三分之二以上成员签字确认方为有效。   </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（2）第三方组件管理要求</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1）如需使用</w:t>
      </w:r>
      <w:proofErr w:type="gramStart"/>
      <w:r w:rsidRPr="00E12660">
        <w:rPr>
          <w:rFonts w:ascii="宋体" w:hAnsi="宋体" w:cs="方正楷体_GBK" w:hint="eastAsia"/>
          <w:sz w:val="24"/>
          <w:szCs w:val="24"/>
        </w:rPr>
        <w:t>第三方库及</w:t>
      </w:r>
      <w:proofErr w:type="gramEnd"/>
      <w:r w:rsidRPr="00E12660">
        <w:rPr>
          <w:rFonts w:ascii="宋体" w:hAnsi="宋体" w:cs="方正楷体_GBK" w:hint="eastAsia"/>
          <w:sz w:val="24"/>
          <w:szCs w:val="24"/>
        </w:rPr>
        <w:t>组件，需确保符合国家信</w:t>
      </w:r>
      <w:proofErr w:type="gramStart"/>
      <w:r w:rsidRPr="00E12660">
        <w:rPr>
          <w:rFonts w:ascii="宋体" w:hAnsi="宋体" w:cs="方正楷体_GBK" w:hint="eastAsia"/>
          <w:sz w:val="24"/>
          <w:szCs w:val="24"/>
        </w:rPr>
        <w:t>创产业</w:t>
      </w:r>
      <w:proofErr w:type="gramEnd"/>
      <w:r w:rsidRPr="00E12660">
        <w:rPr>
          <w:rFonts w:ascii="宋体" w:hAnsi="宋体" w:cs="方正楷体_GBK" w:hint="eastAsia"/>
          <w:sz w:val="24"/>
          <w:szCs w:val="24"/>
        </w:rPr>
        <w:t>相关要求，包括但不限于：</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a. 通过国产化软硬件适配认证（如操作系统、数据库、中间件等）；</w:t>
      </w:r>
    </w:p>
    <w:p w:rsidR="00E12660" w:rsidRPr="00E12660" w:rsidRDefault="00E12660" w:rsidP="00E12660">
      <w:pPr>
        <w:spacing w:line="360" w:lineRule="auto"/>
        <w:rPr>
          <w:rFonts w:ascii="宋体" w:hAnsi="宋体" w:cs="方正楷体_GBK" w:hint="eastAsia"/>
          <w:sz w:val="24"/>
          <w:szCs w:val="24"/>
        </w:rPr>
      </w:pPr>
      <w:proofErr w:type="gramStart"/>
      <w:r w:rsidRPr="00E12660">
        <w:rPr>
          <w:rFonts w:ascii="宋体" w:hAnsi="宋体" w:cs="方正楷体_GBK" w:hint="eastAsia"/>
          <w:sz w:val="24"/>
          <w:szCs w:val="24"/>
        </w:rPr>
        <w:t>b</w:t>
      </w:r>
      <w:proofErr w:type="gramEnd"/>
      <w:r w:rsidRPr="00E12660">
        <w:rPr>
          <w:rFonts w:ascii="宋体" w:hAnsi="宋体" w:cs="方正楷体_GBK" w:hint="eastAsia"/>
          <w:sz w:val="24"/>
          <w:szCs w:val="24"/>
        </w:rPr>
        <w:t>. 提供供应链安全审查材料（含自主可控声明、开源协议/授权文件、供应商安全承诺等）；</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c. 核心组件需通过国家网络安全审查或行业信创产品目录审核（如金融、政务等领域）。</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未满足上述要求的，视为重大偏离。</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2）选用组件需满足GB/T 22239-2019《信息安全技术—网络安全等级保护基本要求》中规定的安全标准；</w:t>
      </w:r>
    </w:p>
    <w:p w:rsidR="00E12660" w:rsidRPr="00E12660" w:rsidRDefault="00E12660" w:rsidP="00E12660">
      <w:pPr>
        <w:spacing w:line="360" w:lineRule="auto"/>
        <w:rPr>
          <w:rFonts w:ascii="宋体" w:hAnsi="宋体" w:cs="方正楷体_GBK" w:hint="eastAsia"/>
          <w:sz w:val="24"/>
          <w:szCs w:val="24"/>
        </w:rPr>
      </w:pPr>
      <w:r w:rsidRPr="00E12660">
        <w:rPr>
          <w:rFonts w:ascii="宋体" w:hAnsi="宋体" w:cs="方正楷体_GBK" w:hint="eastAsia"/>
          <w:sz w:val="24"/>
          <w:szCs w:val="24"/>
        </w:rPr>
        <w:t>3）涉及第三方授权使用的商业组件，必须将许可费用、运维服务费等相关支出纳入本项目合同金额中。</w:t>
      </w:r>
    </w:p>
    <w:p w:rsidR="00445D92" w:rsidRPr="00F16FF0" w:rsidRDefault="003B6812">
      <w:pPr>
        <w:spacing w:line="360" w:lineRule="auto"/>
        <w:rPr>
          <w:rFonts w:ascii="宋体" w:hAnsi="宋体" w:cs="方正楷体_GBK"/>
          <w:sz w:val="24"/>
          <w:szCs w:val="24"/>
        </w:rPr>
      </w:pPr>
      <w:r>
        <w:rPr>
          <w:rFonts w:ascii="宋体" w:hAnsi="宋体" w:cs="方正楷体_GBK" w:hint="eastAsia"/>
          <w:sz w:val="24"/>
          <w:szCs w:val="24"/>
        </w:rPr>
        <w:t>5</w:t>
      </w:r>
      <w:r w:rsidR="00BD009D" w:rsidRPr="00F16FF0">
        <w:rPr>
          <w:rFonts w:ascii="宋体" w:hAnsi="宋体" w:cs="方正楷体_GBK" w:hint="eastAsia"/>
          <w:sz w:val="24"/>
          <w:szCs w:val="24"/>
        </w:rPr>
        <w:t>、补充说明：</w:t>
      </w:r>
    </w:p>
    <w:p w:rsidR="00AB6ADB" w:rsidRDefault="00045E0A">
      <w:pPr>
        <w:spacing w:line="360" w:lineRule="auto"/>
        <w:rPr>
          <w:rFonts w:ascii="宋体" w:hAnsi="宋体" w:cs="方正楷体_GBK"/>
          <w:sz w:val="24"/>
          <w:szCs w:val="24"/>
        </w:rPr>
      </w:pPr>
      <w:r>
        <w:rPr>
          <w:rFonts w:ascii="宋体" w:hAnsi="宋体" w:cs="方正楷体_GBK" w:hint="eastAsia"/>
          <w:sz w:val="24"/>
          <w:szCs w:val="24"/>
        </w:rPr>
        <w:lastRenderedPageBreak/>
        <w:t>（1）</w:t>
      </w:r>
      <w:r w:rsidR="00DE4C19">
        <w:rPr>
          <w:rFonts w:ascii="宋体" w:hAnsi="宋体" w:cs="方正楷体_GBK"/>
          <w:sz w:val="24"/>
          <w:szCs w:val="24"/>
        </w:rPr>
        <w:t>系统</w:t>
      </w:r>
      <w:proofErr w:type="gramStart"/>
      <w:r w:rsidR="003B6812">
        <w:rPr>
          <w:rFonts w:ascii="宋体" w:hAnsi="宋体" w:cs="方正楷体_GBK"/>
          <w:sz w:val="24"/>
          <w:szCs w:val="24"/>
        </w:rPr>
        <w:t>需支持</w:t>
      </w:r>
      <w:proofErr w:type="gramEnd"/>
      <w:r w:rsidR="00DE4C19">
        <w:rPr>
          <w:rFonts w:ascii="宋体" w:hAnsi="宋体" w:cs="方正楷体_GBK" w:hint="eastAsia"/>
          <w:sz w:val="24"/>
          <w:szCs w:val="24"/>
        </w:rPr>
        <w:t>后续</w:t>
      </w:r>
      <w:r w:rsidR="00DE4C19">
        <w:rPr>
          <w:rFonts w:ascii="宋体" w:hAnsi="宋体" w:cs="方正楷体_GBK"/>
          <w:sz w:val="24"/>
          <w:szCs w:val="24"/>
        </w:rPr>
        <w:t>与</w:t>
      </w:r>
      <w:r w:rsidR="00BD009D" w:rsidRPr="00F16FF0">
        <w:rPr>
          <w:rFonts w:ascii="宋体" w:hAnsi="宋体" w:cs="方正楷体_GBK"/>
          <w:sz w:val="24"/>
          <w:szCs w:val="24"/>
        </w:rPr>
        <w:t>医院在用信息系统通过接口方式对接实现互联互通。</w:t>
      </w:r>
      <w:r w:rsidR="00BD009D" w:rsidRPr="00F16FF0">
        <w:rPr>
          <w:rFonts w:ascii="宋体" w:hAnsi="宋体" w:cs="方正楷体_GBK"/>
          <w:sz w:val="24"/>
          <w:szCs w:val="24"/>
        </w:rPr>
        <w:br/>
      </w:r>
      <w:r>
        <w:rPr>
          <w:rFonts w:ascii="宋体" w:hAnsi="宋体" w:cs="方正楷体_GBK" w:hint="eastAsia"/>
          <w:sz w:val="24"/>
          <w:szCs w:val="24"/>
        </w:rPr>
        <w:t>（2）</w:t>
      </w:r>
      <w:proofErr w:type="gramStart"/>
      <w:r w:rsidR="00BD009D" w:rsidRPr="00F16FF0">
        <w:rPr>
          <w:rFonts w:ascii="宋体" w:hAnsi="宋体" w:cs="方正楷体_GBK"/>
          <w:sz w:val="24"/>
          <w:szCs w:val="24"/>
        </w:rPr>
        <w:t>满足等保三级</w:t>
      </w:r>
      <w:proofErr w:type="gramEnd"/>
      <w:r w:rsidR="00BD009D" w:rsidRPr="00F16FF0">
        <w:rPr>
          <w:rFonts w:ascii="宋体" w:hAnsi="宋体" w:cs="方正楷体_GBK"/>
          <w:sz w:val="24"/>
          <w:szCs w:val="24"/>
        </w:rPr>
        <w:t>、电子病历四级、智慧管理三级、智慧服务三级、互联互通五级、</w:t>
      </w:r>
      <w:proofErr w:type="gramStart"/>
      <w:r w:rsidR="00BD009D" w:rsidRPr="00F16FF0">
        <w:rPr>
          <w:rFonts w:ascii="宋体" w:hAnsi="宋体" w:cs="方正楷体_GBK"/>
          <w:sz w:val="24"/>
          <w:szCs w:val="24"/>
        </w:rPr>
        <w:t>支持国密算法</w:t>
      </w:r>
      <w:proofErr w:type="gramEnd"/>
      <w:r w:rsidR="00BD009D" w:rsidRPr="00F16FF0">
        <w:rPr>
          <w:rFonts w:ascii="宋体" w:hAnsi="宋体" w:cs="方正楷体_GBK"/>
          <w:sz w:val="24"/>
          <w:szCs w:val="24"/>
        </w:rPr>
        <w:t>、正版化、</w:t>
      </w:r>
      <w:proofErr w:type="gramStart"/>
      <w:r w:rsidR="00BD009D" w:rsidRPr="00F16FF0">
        <w:rPr>
          <w:rFonts w:ascii="宋体" w:hAnsi="宋体" w:cs="方正楷体_GBK"/>
          <w:sz w:val="24"/>
          <w:szCs w:val="24"/>
        </w:rPr>
        <w:t>信创等</w:t>
      </w:r>
      <w:proofErr w:type="gramEnd"/>
      <w:r w:rsidR="00BD009D" w:rsidRPr="00F16FF0">
        <w:rPr>
          <w:rFonts w:ascii="宋体" w:hAnsi="宋体" w:cs="方正楷体_GBK"/>
          <w:sz w:val="24"/>
          <w:szCs w:val="24"/>
        </w:rPr>
        <w:t>要求。</w:t>
      </w:r>
      <w:r w:rsidR="00BD009D" w:rsidRPr="00F16FF0">
        <w:rPr>
          <w:rFonts w:ascii="宋体" w:hAnsi="宋体" w:cs="方正楷体_GBK"/>
          <w:sz w:val="24"/>
          <w:szCs w:val="24"/>
        </w:rPr>
        <w:br/>
      </w:r>
      <w:r>
        <w:rPr>
          <w:rFonts w:ascii="宋体" w:hAnsi="宋体" w:cs="方正楷体_GBK" w:hint="eastAsia"/>
          <w:sz w:val="24"/>
          <w:szCs w:val="24"/>
        </w:rPr>
        <w:t>（3）</w:t>
      </w:r>
      <w:r w:rsidR="00BD009D" w:rsidRPr="00F16FF0">
        <w:rPr>
          <w:rFonts w:ascii="宋体" w:hAnsi="宋体" w:cs="方正楷体_GBK"/>
          <w:sz w:val="24"/>
          <w:szCs w:val="24"/>
        </w:rPr>
        <w:t>验收交付后需提供至少</w:t>
      </w:r>
      <w:r w:rsidR="00BD009D" w:rsidRPr="00F16FF0">
        <w:rPr>
          <w:rFonts w:ascii="宋体" w:hAnsi="宋体" w:cs="方正楷体_GBK" w:hint="eastAsia"/>
          <w:sz w:val="24"/>
          <w:szCs w:val="24"/>
        </w:rPr>
        <w:t>三</w:t>
      </w:r>
      <w:r w:rsidR="00BD009D" w:rsidRPr="00F16FF0">
        <w:rPr>
          <w:rFonts w:ascii="宋体" w:hAnsi="宋体" w:cs="方正楷体_GBK"/>
          <w:sz w:val="24"/>
          <w:szCs w:val="24"/>
        </w:rPr>
        <w:t>年的免费技术支持服务，包括系统安装、配置、调试、日常维护</w:t>
      </w:r>
      <w:r w:rsidR="00AB6ADB" w:rsidRPr="00F16FF0">
        <w:rPr>
          <w:rFonts w:ascii="宋体" w:hAnsi="宋体" w:cs="方正楷体_GBK" w:hint="eastAsia"/>
          <w:sz w:val="24"/>
          <w:szCs w:val="24"/>
        </w:rPr>
        <w:t>（调减指标及相关维护服务）</w:t>
      </w:r>
      <w:r w:rsidR="00BD009D" w:rsidRPr="00F16FF0">
        <w:rPr>
          <w:rFonts w:ascii="宋体" w:hAnsi="宋体" w:cs="方正楷体_GBK"/>
          <w:sz w:val="24"/>
          <w:szCs w:val="24"/>
        </w:rPr>
        <w:t>和故障处理。</w:t>
      </w:r>
    </w:p>
    <w:p w:rsidR="002D1258" w:rsidRPr="002D1258" w:rsidRDefault="00045E0A" w:rsidP="00045E0A">
      <w:pPr>
        <w:spacing w:line="360" w:lineRule="auto"/>
        <w:rPr>
          <w:rFonts w:ascii="宋体" w:hAnsi="宋体" w:cs="方正楷体_GBK"/>
          <w:sz w:val="24"/>
          <w:szCs w:val="24"/>
        </w:rPr>
      </w:pPr>
      <w:r>
        <w:rPr>
          <w:rFonts w:ascii="宋体" w:hAnsi="宋体" w:cs="方正楷体_GBK" w:hint="eastAsia"/>
          <w:sz w:val="24"/>
          <w:szCs w:val="24"/>
        </w:rPr>
        <w:t>（4）</w:t>
      </w:r>
      <w:r w:rsidR="002D1258" w:rsidRPr="002D1258">
        <w:rPr>
          <w:rFonts w:ascii="宋体" w:hAnsi="宋体" w:cs="方正楷体_GBK" w:hint="eastAsia"/>
          <w:sz w:val="24"/>
          <w:szCs w:val="24"/>
        </w:rPr>
        <w:t>为确保项目顺利验收并达到预期目标，乙方应在项目达到合同约定的验收标准后，向甲方正式提交书面的《验收申请》，并同时提交以下所列文件。甲方将基于提交的文件和系统实际运行情况进行验收评估。乙方须提交的验收文件清单如下，其提供要求分为必备文件和根据项目特性/合同约定提供的文件两类：</w:t>
      </w:r>
    </w:p>
    <w:p w:rsidR="002D1258" w:rsidRP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必备文件：</w:t>
      </w:r>
    </w:p>
    <w:p w:rsidR="002D1258" w:rsidRP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1.1 验收申请: 乙方提交的正式书面文件，声明项目已完成并达到合同约定的验收标准，请求甲方启动验收程序。</w:t>
      </w:r>
    </w:p>
    <w:p w:rsidR="002D1258" w:rsidRP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1.2 安装手册: 详细描述系统或产品的安装步骤、环境要求、配置说明、软硬件依赖关系等，确保甲方或甲方指定人员能够独立完成系统的正确安装部署。</w:t>
      </w:r>
    </w:p>
    <w:p w:rsidR="002D1258" w:rsidRP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1.3 运行维护手册: 包含系统的日常操作流程、监控方法、常见故障诊断与排除指南、例行维护任务说明（如备份、日志清理等）、安全注意事项及基本的性能优化建议，为甲方后续运</w:t>
      </w:r>
      <w:proofErr w:type="gramStart"/>
      <w:r w:rsidRPr="002D1258">
        <w:rPr>
          <w:rFonts w:ascii="宋体" w:hAnsi="宋体" w:cs="方正楷体_GBK" w:hint="eastAsia"/>
          <w:sz w:val="24"/>
          <w:szCs w:val="24"/>
        </w:rPr>
        <w:t>维提供</w:t>
      </w:r>
      <w:proofErr w:type="gramEnd"/>
      <w:r w:rsidRPr="002D1258">
        <w:rPr>
          <w:rFonts w:ascii="宋体" w:hAnsi="宋体" w:cs="方正楷体_GBK" w:hint="eastAsia"/>
          <w:sz w:val="24"/>
          <w:szCs w:val="24"/>
        </w:rPr>
        <w:t>支持。</w:t>
      </w:r>
    </w:p>
    <w:p w:rsidR="002D1258" w:rsidRP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1.4源代码</w:t>
      </w:r>
      <w:r>
        <w:rPr>
          <w:rFonts w:ascii="宋体" w:hAnsi="宋体" w:cs="方正楷体_GBK" w:hint="eastAsia"/>
          <w:sz w:val="24"/>
          <w:szCs w:val="24"/>
        </w:rPr>
        <w:t xml:space="preserve"> </w:t>
      </w:r>
      <w:r w:rsidRPr="002D1258">
        <w:rPr>
          <w:rFonts w:ascii="宋体" w:hAnsi="宋体" w:cs="方正楷体_GBK" w:hint="eastAsia"/>
          <w:sz w:val="24"/>
          <w:szCs w:val="24"/>
        </w:rPr>
        <w:t>: 包含完整的、可编译的源代码及相关说明文档，并确保其完整性和可读性。</w:t>
      </w:r>
    </w:p>
    <w:p w:rsidR="002D1258" w:rsidRP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根据项目特性提供的文件:</w:t>
      </w:r>
    </w:p>
    <w:p w:rsidR="002D1258" w:rsidRP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2.1 授权文件: 仅在项目涉及第三方软件、硬件或服务，且需要乙方提供相关授权或许可证明时提供。 应提供合法有效的授权文件副本（如软件许可证、授权书、数字证书等），确保甲方拥有合法使用相关组件所需的权限。</w:t>
      </w:r>
    </w:p>
    <w:p w:rsidR="002D1258" w:rsidRP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2.2 系统还原手册: 对于关键业务系统需提供。详细描述在系统发生灾难性故障后的完整恢复流程，包括备份恢复步骤、备用环境启用（如有）、数据同步策略等，确保甲方具备系统灾难恢复能力。</w:t>
      </w:r>
    </w:p>
    <w:p w:rsidR="002D1258" w:rsidRDefault="002D1258" w:rsidP="002D1258">
      <w:pPr>
        <w:spacing w:line="360" w:lineRule="auto"/>
        <w:rPr>
          <w:rFonts w:ascii="宋体" w:hAnsi="宋体" w:cs="方正楷体_GBK"/>
          <w:sz w:val="24"/>
          <w:szCs w:val="24"/>
        </w:rPr>
      </w:pPr>
      <w:r w:rsidRPr="002D1258">
        <w:rPr>
          <w:rFonts w:ascii="宋体" w:hAnsi="宋体" w:cs="方正楷体_GBK" w:hint="eastAsia"/>
          <w:sz w:val="24"/>
          <w:szCs w:val="24"/>
        </w:rPr>
        <w:t>2.3 系统数据手册: 包含复杂数据结构、数据模型或需要特定数据初始化/迁移的项目需提供。包含系统核心数据结构说明、数据字典、数据流图、初始数据加载规则、数据迁移方案（如适用）以及数据备份与恢复的具体操作指南。</w:t>
      </w:r>
    </w:p>
    <w:p w:rsidR="003B6812" w:rsidRPr="003B6812" w:rsidRDefault="003B6812" w:rsidP="003B6812">
      <w:pPr>
        <w:spacing w:line="360" w:lineRule="auto"/>
        <w:ind w:firstLineChars="200" w:firstLine="480"/>
        <w:rPr>
          <w:rFonts w:ascii="宋体" w:hAnsi="宋体" w:cs="方正楷体_GBK"/>
          <w:sz w:val="24"/>
          <w:szCs w:val="24"/>
        </w:rPr>
      </w:pPr>
      <w:r>
        <w:rPr>
          <w:rFonts w:ascii="宋体" w:hAnsi="宋体" w:cs="方正楷体_GBK" w:hint="eastAsia"/>
          <w:sz w:val="24"/>
          <w:szCs w:val="24"/>
        </w:rPr>
        <w:lastRenderedPageBreak/>
        <w:t>本项目以上包含但不限于的相关</w:t>
      </w:r>
      <w:r w:rsidRPr="00F16FF0">
        <w:rPr>
          <w:rFonts w:ascii="宋体" w:hAnsi="宋体" w:cs="方正楷体_GBK" w:hint="eastAsia"/>
          <w:sz w:val="24"/>
          <w:szCs w:val="24"/>
        </w:rPr>
        <w:t>技术资料需要交付院方存档保管。</w:t>
      </w:r>
    </w:p>
    <w:p w:rsidR="00445D92" w:rsidRPr="00F16FF0" w:rsidRDefault="00045E0A" w:rsidP="00045E0A">
      <w:pPr>
        <w:spacing w:line="360" w:lineRule="auto"/>
        <w:rPr>
          <w:rFonts w:ascii="宋体" w:hAnsi="宋体" w:cs="方正楷体_GBK"/>
          <w:sz w:val="24"/>
          <w:szCs w:val="24"/>
        </w:rPr>
      </w:pPr>
      <w:r>
        <w:rPr>
          <w:rFonts w:ascii="宋体" w:hAnsi="宋体" w:cs="方正楷体_GBK" w:hint="eastAsia"/>
          <w:sz w:val="24"/>
          <w:szCs w:val="24"/>
        </w:rPr>
        <w:t>（5）</w:t>
      </w:r>
      <w:r w:rsidR="00BD009D" w:rsidRPr="00F16FF0">
        <w:rPr>
          <w:rFonts w:ascii="宋体" w:hAnsi="宋体" w:cs="方正楷体_GBK"/>
          <w:sz w:val="24"/>
          <w:szCs w:val="24"/>
        </w:rPr>
        <w:t>当甲方的系统发生技术问题后，乙方的维护工程师接到报告后会对甲方每次支持请求做出及时响应。维护工程师将甲方服务请求划分为三种级别，服务级别取决于对系统运行的关键程度和急迫程度，并依据不同服务级别，决定相应的服务响应时间。此外，对于甲方的特殊要求，亦可由双方商讨并制定单独的解决方法。</w:t>
      </w:r>
    </w:p>
    <w:p w:rsidR="00445D92" w:rsidRPr="00F16FF0" w:rsidRDefault="00BD009D">
      <w:pPr>
        <w:spacing w:line="360" w:lineRule="auto"/>
        <w:rPr>
          <w:rFonts w:ascii="宋体" w:hAnsi="宋体" w:cs="方正楷体_GBK"/>
          <w:sz w:val="24"/>
          <w:szCs w:val="24"/>
        </w:rPr>
      </w:pPr>
      <w:r w:rsidRPr="00F16FF0">
        <w:rPr>
          <w:rFonts w:ascii="宋体" w:hAnsi="宋体" w:cs="方正楷体_GBK"/>
          <w:sz w:val="24"/>
          <w:szCs w:val="24"/>
        </w:rPr>
        <w:t>服务级别定义：</w:t>
      </w:r>
    </w:p>
    <w:p w:rsidR="00445D92" w:rsidRPr="00F16FF0" w:rsidRDefault="00BD009D">
      <w:pPr>
        <w:spacing w:line="360" w:lineRule="auto"/>
        <w:rPr>
          <w:rFonts w:ascii="宋体" w:hAnsi="宋体" w:cs="方正楷体_GBK"/>
          <w:sz w:val="24"/>
          <w:szCs w:val="24"/>
        </w:rPr>
      </w:pPr>
      <w:r w:rsidRPr="00F16FF0">
        <w:rPr>
          <w:rFonts w:ascii="宋体" w:hAnsi="宋体" w:cs="方正楷体_GBK"/>
          <w:sz w:val="24"/>
          <w:szCs w:val="24"/>
        </w:rPr>
        <w:t>I级（紧急服务）：服务器</w:t>
      </w:r>
      <w:proofErr w:type="gramStart"/>
      <w:r w:rsidRPr="00F16FF0">
        <w:rPr>
          <w:rFonts w:ascii="宋体" w:hAnsi="宋体" w:cs="方正楷体_GBK"/>
          <w:sz w:val="24"/>
          <w:szCs w:val="24"/>
        </w:rPr>
        <w:t>宕</w:t>
      </w:r>
      <w:proofErr w:type="gramEnd"/>
      <w:r w:rsidRPr="00F16FF0">
        <w:rPr>
          <w:rFonts w:ascii="宋体" w:hAnsi="宋体" w:cs="方正楷体_GBK"/>
          <w:sz w:val="24"/>
          <w:szCs w:val="24"/>
        </w:rPr>
        <w:t>机、数据库与服务器不能正常连接、系统不能正常登陆、磁盘容量过满。</w:t>
      </w:r>
    </w:p>
    <w:p w:rsidR="00445D92" w:rsidRPr="00F16FF0" w:rsidRDefault="00BD009D">
      <w:pPr>
        <w:spacing w:line="360" w:lineRule="auto"/>
        <w:rPr>
          <w:rFonts w:ascii="宋体" w:hAnsi="宋体" w:cs="方正楷体_GBK"/>
          <w:sz w:val="24"/>
          <w:szCs w:val="24"/>
        </w:rPr>
      </w:pPr>
      <w:r w:rsidRPr="00F16FF0">
        <w:rPr>
          <w:rFonts w:ascii="宋体" w:hAnsi="宋体" w:cs="方正楷体_GBK"/>
          <w:sz w:val="24"/>
          <w:szCs w:val="24"/>
        </w:rPr>
        <w:t>II级（加急服务）：系统出现严重BUG导致不能正常开展业务流程。比如系统响应速度慢，或系统闪退等情况。</w:t>
      </w:r>
    </w:p>
    <w:p w:rsidR="00445D92" w:rsidRPr="00F16FF0" w:rsidRDefault="00BD009D">
      <w:pPr>
        <w:spacing w:line="360" w:lineRule="auto"/>
        <w:rPr>
          <w:rFonts w:ascii="宋体" w:hAnsi="宋体" w:cs="方正楷体_GBK"/>
          <w:sz w:val="24"/>
          <w:szCs w:val="24"/>
        </w:rPr>
      </w:pPr>
      <w:r w:rsidRPr="00F16FF0">
        <w:rPr>
          <w:rFonts w:ascii="宋体" w:hAnsi="宋体" w:cs="方正楷体_GBK"/>
          <w:sz w:val="24"/>
          <w:szCs w:val="24"/>
        </w:rPr>
        <w:t>III级（常规服务）：除上述I、II</w:t>
      </w:r>
      <w:proofErr w:type="gramStart"/>
      <w:r w:rsidRPr="00F16FF0">
        <w:rPr>
          <w:rFonts w:ascii="宋体" w:hAnsi="宋体" w:cs="方正楷体_GBK"/>
          <w:sz w:val="24"/>
          <w:szCs w:val="24"/>
        </w:rPr>
        <w:t>级范围</w:t>
      </w:r>
      <w:proofErr w:type="gramEnd"/>
      <w:r w:rsidRPr="00F16FF0">
        <w:rPr>
          <w:rFonts w:ascii="宋体" w:hAnsi="宋体" w:cs="方正楷体_GBK"/>
          <w:sz w:val="24"/>
          <w:szCs w:val="24"/>
        </w:rPr>
        <w:t>以外的情况。比如异常数据处理、业务数据协助导出以及不影响业务流程的BUG及日常需求修改等。</w:t>
      </w:r>
    </w:p>
    <w:p w:rsidR="00445D92" w:rsidRPr="00F16FF0" w:rsidRDefault="00BD009D">
      <w:pPr>
        <w:spacing w:line="360" w:lineRule="auto"/>
        <w:rPr>
          <w:rFonts w:ascii="宋体" w:hAnsi="宋体" w:cs="方正楷体_GBK"/>
          <w:sz w:val="24"/>
          <w:szCs w:val="24"/>
        </w:rPr>
      </w:pPr>
      <w:r w:rsidRPr="00F16FF0">
        <w:rPr>
          <w:rFonts w:ascii="宋体" w:hAnsi="宋体" w:cs="方正楷体_GBK"/>
          <w:sz w:val="24"/>
          <w:szCs w:val="24"/>
        </w:rPr>
        <w:t>服务响应时间说明：</w:t>
      </w:r>
    </w:p>
    <w:tbl>
      <w:tblPr>
        <w:tblW w:w="4998" w:type="pct"/>
        <w:tblInd w:w="1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1382"/>
        <w:gridCol w:w="1411"/>
        <w:gridCol w:w="1831"/>
        <w:gridCol w:w="287"/>
        <w:gridCol w:w="1801"/>
        <w:gridCol w:w="1801"/>
      </w:tblGrid>
      <w:tr w:rsidR="00445D92">
        <w:tc>
          <w:tcPr>
            <w:tcW w:w="16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服务级别</w:t>
            </w:r>
          </w:p>
        </w:tc>
        <w:tc>
          <w:tcPr>
            <w:tcW w:w="1243" w:type="pct"/>
            <w:gridSpan w:val="2"/>
            <w:tcBorders>
              <w:top w:val="single" w:sz="4" w:space="0" w:color="000000"/>
              <w:left w:val="nil"/>
              <w:bottom w:val="single" w:sz="4" w:space="0" w:color="000000"/>
              <w:right w:val="nil"/>
            </w:tcBorders>
            <w:shd w:val="clear" w:color="auto" w:fill="auto"/>
            <w:tcMar>
              <w:left w:w="105" w:type="dxa"/>
              <w:right w:w="105" w:type="dxa"/>
            </w:tcMar>
          </w:tcPr>
          <w:p w:rsidR="00445D92" w:rsidRDefault="00445D92">
            <w:pPr>
              <w:spacing w:line="360" w:lineRule="auto"/>
            </w:pPr>
          </w:p>
        </w:tc>
        <w:tc>
          <w:tcPr>
            <w:tcW w:w="2116" w:type="pct"/>
            <w:gridSpan w:val="2"/>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服务响应时间</w:t>
            </w:r>
          </w:p>
        </w:tc>
      </w:tr>
      <w:tr w:rsidR="00445D92">
        <w:tc>
          <w:tcPr>
            <w:tcW w:w="1639" w:type="pct"/>
            <w:gridSpan w:val="2"/>
            <w:vMerge/>
            <w:tcBorders>
              <w:top w:val="single" w:sz="4" w:space="0" w:color="000000"/>
              <w:left w:val="single" w:sz="4" w:space="0" w:color="000000"/>
              <w:bottom w:val="single" w:sz="4" w:space="0" w:color="000000"/>
              <w:right w:val="single" w:sz="4" w:space="0" w:color="000000"/>
            </w:tcBorders>
            <w:shd w:val="clear" w:color="auto" w:fill="auto"/>
            <w:tcMar>
              <w:left w:w="105" w:type="dxa"/>
              <w:right w:w="105" w:type="dxa"/>
            </w:tcMar>
          </w:tcPr>
          <w:p w:rsidR="00445D92" w:rsidRDefault="00445D92">
            <w:pPr>
              <w:spacing w:line="360" w:lineRule="auto"/>
            </w:pP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驻场（工作日）</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电话</w:t>
            </w:r>
          </w:p>
        </w:tc>
        <w:tc>
          <w:tcPr>
            <w:tcW w:w="1058" w:type="pct"/>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远程</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紧急服务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立即响应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立即响应</w:t>
            </w:r>
          </w:p>
        </w:tc>
        <w:tc>
          <w:tcPr>
            <w:tcW w:w="1058" w:type="pct"/>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立即启动，运维工程师</w:t>
            </w:r>
            <w:r>
              <w:t>1</w:t>
            </w:r>
            <w:r>
              <w:t>小时后到现场</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II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加急服务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30</w:t>
            </w:r>
            <w:r>
              <w:t>分钟内响应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30</w:t>
            </w:r>
            <w:r>
              <w:t>分钟内响应</w:t>
            </w:r>
          </w:p>
        </w:tc>
        <w:tc>
          <w:tcPr>
            <w:tcW w:w="105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30</w:t>
            </w:r>
            <w:r>
              <w:t>分钟内响应</w:t>
            </w:r>
          </w:p>
          <w:p w:rsidR="00445D92" w:rsidRDefault="00BD009D">
            <w:pPr>
              <w:spacing w:line="360" w:lineRule="auto"/>
            </w:pPr>
            <w:r>
              <w:t>如远程</w:t>
            </w:r>
            <w:r>
              <w:t>2</w:t>
            </w:r>
            <w:r>
              <w:t>小时内无法解决问题，运维工程师需在甲方报障后</w:t>
            </w:r>
            <w:r>
              <w:t>3</w:t>
            </w:r>
            <w:r>
              <w:t>小时内到现场</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III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常规服务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2</w:t>
            </w:r>
            <w:r>
              <w:t>小时内响应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2</w:t>
            </w:r>
            <w:r>
              <w:t>小时内响应</w:t>
            </w:r>
          </w:p>
        </w:tc>
        <w:tc>
          <w:tcPr>
            <w:tcW w:w="105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w:t>
            </w:r>
            <w:r>
              <w:t>小时内启动</w:t>
            </w:r>
          </w:p>
        </w:tc>
      </w:tr>
    </w:tbl>
    <w:p w:rsidR="00445D92" w:rsidRDefault="00445D92">
      <w:pPr>
        <w:spacing w:line="360" w:lineRule="auto"/>
        <w:ind w:firstLineChars="200" w:firstLine="420"/>
        <w:jc w:val="right"/>
      </w:pPr>
    </w:p>
    <w:p w:rsidR="00445D92" w:rsidRDefault="00445D92">
      <w:pPr>
        <w:spacing w:line="360" w:lineRule="auto"/>
        <w:ind w:right="840"/>
      </w:pPr>
    </w:p>
    <w:p w:rsidR="00445D92" w:rsidRDefault="00445D92">
      <w:pPr>
        <w:spacing w:line="360" w:lineRule="auto"/>
        <w:ind w:right="840"/>
      </w:pPr>
    </w:p>
    <w:p w:rsidR="00445D92" w:rsidRPr="00DE4C19" w:rsidRDefault="00BD009D">
      <w:pPr>
        <w:wordWrap w:val="0"/>
        <w:spacing w:line="360" w:lineRule="auto"/>
        <w:ind w:firstLineChars="200" w:firstLine="420"/>
        <w:jc w:val="right"/>
        <w:rPr>
          <w:rFonts w:ascii="宋体" w:hAnsi="宋体" w:cs="方正楷体_GBK"/>
          <w:sz w:val="24"/>
          <w:szCs w:val="24"/>
        </w:rPr>
      </w:pPr>
      <w:r>
        <w:rPr>
          <w:rFonts w:hint="eastAsia"/>
        </w:rPr>
        <w:t xml:space="preserve"> </w:t>
      </w:r>
      <w:r>
        <w:rPr>
          <w:rFonts w:hint="eastAsia"/>
          <w:sz w:val="28"/>
          <w:szCs w:val="28"/>
        </w:rPr>
        <w:t xml:space="preserve">               </w:t>
      </w:r>
      <w:r w:rsidRPr="00DE4C19">
        <w:rPr>
          <w:rFonts w:ascii="宋体" w:hAnsi="宋体" w:cs="方正楷体_GBK" w:hint="eastAsia"/>
          <w:sz w:val="24"/>
          <w:szCs w:val="24"/>
        </w:rPr>
        <w:t xml:space="preserve">汕头大学精神卫生中心 信息科   </w:t>
      </w:r>
    </w:p>
    <w:p w:rsidR="00445D92" w:rsidRPr="00DE4C19" w:rsidRDefault="00BD009D" w:rsidP="00DE4C19">
      <w:pPr>
        <w:wordWrap w:val="0"/>
        <w:spacing w:line="360" w:lineRule="auto"/>
        <w:ind w:firstLineChars="200" w:firstLine="480"/>
        <w:jc w:val="right"/>
        <w:rPr>
          <w:rFonts w:ascii="宋体" w:hAnsi="宋体" w:cs="方正楷体_GBK"/>
          <w:sz w:val="24"/>
          <w:szCs w:val="24"/>
        </w:rPr>
      </w:pPr>
      <w:r w:rsidRPr="00DE4C19">
        <w:rPr>
          <w:rFonts w:ascii="宋体" w:hAnsi="宋体" w:cs="方正楷体_GBK" w:hint="eastAsia"/>
          <w:sz w:val="24"/>
          <w:szCs w:val="24"/>
        </w:rPr>
        <w:t xml:space="preserve">    2025年</w:t>
      </w:r>
      <w:r w:rsidR="00AB6ADB" w:rsidRPr="00DE4C19">
        <w:rPr>
          <w:rFonts w:ascii="宋体" w:hAnsi="宋体" w:cs="方正楷体_GBK" w:hint="eastAsia"/>
          <w:sz w:val="24"/>
          <w:szCs w:val="24"/>
        </w:rPr>
        <w:t>7</w:t>
      </w:r>
      <w:r w:rsidRPr="00DE4C19">
        <w:rPr>
          <w:rFonts w:ascii="宋体" w:hAnsi="宋体" w:cs="方正楷体_GBK" w:hint="eastAsia"/>
          <w:sz w:val="24"/>
          <w:szCs w:val="24"/>
        </w:rPr>
        <w:t>月</w:t>
      </w:r>
      <w:r w:rsidR="00AB6ADB" w:rsidRPr="00DE4C19">
        <w:rPr>
          <w:rFonts w:ascii="宋体" w:hAnsi="宋体" w:cs="方正楷体_GBK" w:hint="eastAsia"/>
          <w:sz w:val="24"/>
          <w:szCs w:val="24"/>
        </w:rPr>
        <w:t>29</w:t>
      </w:r>
      <w:r w:rsidRPr="00DE4C19">
        <w:rPr>
          <w:rFonts w:ascii="宋体" w:hAnsi="宋体" w:cs="方正楷体_GBK" w:hint="eastAsia"/>
          <w:sz w:val="24"/>
          <w:szCs w:val="24"/>
        </w:rPr>
        <w:t xml:space="preserve">日       </w:t>
      </w:r>
    </w:p>
    <w:sectPr w:rsidR="00445D92" w:rsidRPr="00DE4C1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D0" w:rsidRDefault="00236FD0">
      <w:r>
        <w:separator/>
      </w:r>
    </w:p>
  </w:endnote>
  <w:endnote w:type="continuationSeparator" w:id="0">
    <w:p w:rsidR="00236FD0" w:rsidRDefault="0023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altName w:val="微软雅黑"/>
    <w:charset w:val="86"/>
    <w:family w:val="auto"/>
    <w:pitch w:val="default"/>
    <w:sig w:usb0="00000000" w:usb1="00000000" w:usb2="00000016"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D92" w:rsidRDefault="00BD009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45D92" w:rsidRDefault="00BD009D">
                          <w:pPr>
                            <w:pStyle w:val="a6"/>
                          </w:pPr>
                          <w:r>
                            <w:fldChar w:fldCharType="begin"/>
                          </w:r>
                          <w:r>
                            <w:instrText xml:space="preserve"> PAGE  \* MERGEFORMAT </w:instrText>
                          </w:r>
                          <w:r>
                            <w:fldChar w:fldCharType="separate"/>
                          </w:r>
                          <w:r w:rsidR="00247B60">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45D92" w:rsidRDefault="00BD009D">
                    <w:pPr>
                      <w:pStyle w:val="a6"/>
                    </w:pPr>
                    <w:r>
                      <w:fldChar w:fldCharType="begin"/>
                    </w:r>
                    <w:r>
                      <w:instrText xml:space="preserve"> PAGE  \* MERGEFORMAT </w:instrText>
                    </w:r>
                    <w:r>
                      <w:fldChar w:fldCharType="separate"/>
                    </w:r>
                    <w:r w:rsidR="00247B60">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D0" w:rsidRDefault="00236FD0">
      <w:r>
        <w:separator/>
      </w:r>
    </w:p>
  </w:footnote>
  <w:footnote w:type="continuationSeparator" w:id="0">
    <w:p w:rsidR="00236FD0" w:rsidRDefault="00236F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1A2C"/>
    <w:multiLevelType w:val="multilevel"/>
    <w:tmpl w:val="16671A2C"/>
    <w:lvl w:ilvl="0">
      <w:start w:val="1"/>
      <w:numFmt w:val="bullet"/>
      <w:lvlText w:val=""/>
      <w:lvlJc w:val="left"/>
      <w:pPr>
        <w:ind w:left="525" w:hanging="525"/>
      </w:pPr>
      <w:rPr>
        <w:rFonts w:ascii="Wingdings" w:hAnsi="Wingdings" w:hint="default"/>
      </w:rPr>
    </w:lvl>
    <w:lvl w:ilvl="1">
      <w:start w:val="1"/>
      <w:numFmt w:val="decimal"/>
      <w:lvlText w:val="6.%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184128E2"/>
    <w:multiLevelType w:val="hybridMultilevel"/>
    <w:tmpl w:val="BBC64096"/>
    <w:lvl w:ilvl="0" w:tplc="0EC61BEC">
      <w:start w:val="1"/>
      <w:numFmt w:val="decimal"/>
      <w:lvlText w:val="%1、"/>
      <w:lvlJc w:val="left"/>
      <w:pPr>
        <w:ind w:left="435" w:hanging="435"/>
      </w:pPr>
      <w:rPr>
        <w:rFonts w:asciiTheme="minorHAnsi" w:hAnsiTheme="minorHAnsi" w:cstheme="minorBidi" w:hint="default"/>
        <w:sz w:val="2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97D453E"/>
    <w:multiLevelType w:val="multilevel"/>
    <w:tmpl w:val="397D453E"/>
    <w:lvl w:ilvl="0">
      <w:start w:val="1"/>
      <w:numFmt w:val="decimal"/>
      <w:suff w:val="spac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D92041"/>
    <w:multiLevelType w:val="singleLevel"/>
    <w:tmpl w:val="53D92041"/>
    <w:lvl w:ilvl="0">
      <w:start w:val="1"/>
      <w:numFmt w:val="decimal"/>
      <w:suff w:val="space"/>
      <w:lvlText w:val="%1."/>
      <w:lvlJc w:val="left"/>
    </w:lvl>
  </w:abstractNum>
  <w:abstractNum w:abstractNumId="4">
    <w:nsid w:val="70F8285A"/>
    <w:multiLevelType w:val="multilevel"/>
    <w:tmpl w:val="70F8285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61A1716"/>
    <w:multiLevelType w:val="hybridMultilevel"/>
    <w:tmpl w:val="BC6E3C64"/>
    <w:lvl w:ilvl="0" w:tplc="352417E2">
      <w:start w:val="2"/>
      <w:numFmt w:val="decimal"/>
      <w:lvlText w:val="（%1）"/>
      <w:lvlJc w:val="left"/>
      <w:pPr>
        <w:ind w:left="720" w:hanging="720"/>
      </w:pPr>
      <w:rPr>
        <w:rFonts w:hint="default"/>
      </w:rPr>
    </w:lvl>
    <w:lvl w:ilvl="1" w:tplc="538A37E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BBA71B0"/>
    <w:multiLevelType w:val="multilevel"/>
    <w:tmpl w:val="7BBA71B0"/>
    <w:lvl w:ilvl="0">
      <w:start w:val="1"/>
      <w:numFmt w:val="chineseCountingThousand"/>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
  </w:num>
  <w:num w:numId="2">
    <w:abstractNumId w:val="2"/>
  </w:num>
  <w:num w:numId="3">
    <w:abstractNumId w:val="6"/>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TI5OTllZDk5OWJjNDk4ZGFjYjUzYmUyZTI0OWQifQ=="/>
  </w:docVars>
  <w:rsids>
    <w:rsidRoot w:val="00921569"/>
    <w:rsid w:val="00004695"/>
    <w:rsid w:val="00045E0A"/>
    <w:rsid w:val="0008239E"/>
    <w:rsid w:val="000B398B"/>
    <w:rsid w:val="000B49F4"/>
    <w:rsid w:val="000D4FBC"/>
    <w:rsid w:val="000E167B"/>
    <w:rsid w:val="000F0D57"/>
    <w:rsid w:val="00101871"/>
    <w:rsid w:val="0011458A"/>
    <w:rsid w:val="00130678"/>
    <w:rsid w:val="001C3107"/>
    <w:rsid w:val="001D502E"/>
    <w:rsid w:val="001D7DFB"/>
    <w:rsid w:val="001F48C3"/>
    <w:rsid w:val="002210E7"/>
    <w:rsid w:val="00225771"/>
    <w:rsid w:val="00226773"/>
    <w:rsid w:val="00230E7E"/>
    <w:rsid w:val="00236FD0"/>
    <w:rsid w:val="00247B60"/>
    <w:rsid w:val="0028505D"/>
    <w:rsid w:val="002A0019"/>
    <w:rsid w:val="002A1932"/>
    <w:rsid w:val="002A1CF5"/>
    <w:rsid w:val="002D1258"/>
    <w:rsid w:val="002D48E5"/>
    <w:rsid w:val="00307275"/>
    <w:rsid w:val="0031535E"/>
    <w:rsid w:val="003224C1"/>
    <w:rsid w:val="00334EAE"/>
    <w:rsid w:val="003463E1"/>
    <w:rsid w:val="00350C6B"/>
    <w:rsid w:val="00360BF0"/>
    <w:rsid w:val="0036617D"/>
    <w:rsid w:val="003834D3"/>
    <w:rsid w:val="003869F6"/>
    <w:rsid w:val="003873C3"/>
    <w:rsid w:val="003B6812"/>
    <w:rsid w:val="003D24C5"/>
    <w:rsid w:val="003E7CCD"/>
    <w:rsid w:val="00425785"/>
    <w:rsid w:val="00445D92"/>
    <w:rsid w:val="004A3537"/>
    <w:rsid w:val="004B059E"/>
    <w:rsid w:val="004D086D"/>
    <w:rsid w:val="004F54D5"/>
    <w:rsid w:val="005125B3"/>
    <w:rsid w:val="00525F60"/>
    <w:rsid w:val="00553417"/>
    <w:rsid w:val="005654D0"/>
    <w:rsid w:val="00596BF5"/>
    <w:rsid w:val="005E6315"/>
    <w:rsid w:val="00655AC7"/>
    <w:rsid w:val="006A6354"/>
    <w:rsid w:val="006E5E32"/>
    <w:rsid w:val="00717B52"/>
    <w:rsid w:val="00723483"/>
    <w:rsid w:val="0072356B"/>
    <w:rsid w:val="007569AB"/>
    <w:rsid w:val="00763D21"/>
    <w:rsid w:val="007652EF"/>
    <w:rsid w:val="007B7108"/>
    <w:rsid w:val="008119A9"/>
    <w:rsid w:val="0082375A"/>
    <w:rsid w:val="00827269"/>
    <w:rsid w:val="0085044E"/>
    <w:rsid w:val="00885FC8"/>
    <w:rsid w:val="00897555"/>
    <w:rsid w:val="008A76C8"/>
    <w:rsid w:val="008D10D2"/>
    <w:rsid w:val="008F4F54"/>
    <w:rsid w:val="00921569"/>
    <w:rsid w:val="0092417B"/>
    <w:rsid w:val="009259D5"/>
    <w:rsid w:val="00931A52"/>
    <w:rsid w:val="009425B8"/>
    <w:rsid w:val="00955841"/>
    <w:rsid w:val="00980DD6"/>
    <w:rsid w:val="009908B0"/>
    <w:rsid w:val="009B26F5"/>
    <w:rsid w:val="009D3022"/>
    <w:rsid w:val="00A13552"/>
    <w:rsid w:val="00A52BAE"/>
    <w:rsid w:val="00A833DE"/>
    <w:rsid w:val="00A84FA7"/>
    <w:rsid w:val="00AB6ADB"/>
    <w:rsid w:val="00AE6FD6"/>
    <w:rsid w:val="00B15CC3"/>
    <w:rsid w:val="00B2701C"/>
    <w:rsid w:val="00B5183B"/>
    <w:rsid w:val="00B63452"/>
    <w:rsid w:val="00B778CD"/>
    <w:rsid w:val="00B86FE6"/>
    <w:rsid w:val="00BC5466"/>
    <w:rsid w:val="00BC7E38"/>
    <w:rsid w:val="00BD009D"/>
    <w:rsid w:val="00BE0B10"/>
    <w:rsid w:val="00BF4CB1"/>
    <w:rsid w:val="00C15147"/>
    <w:rsid w:val="00C2143E"/>
    <w:rsid w:val="00C227FF"/>
    <w:rsid w:val="00C27EFB"/>
    <w:rsid w:val="00C7122C"/>
    <w:rsid w:val="00C716F2"/>
    <w:rsid w:val="00C8517C"/>
    <w:rsid w:val="00CA4C39"/>
    <w:rsid w:val="00D00FCF"/>
    <w:rsid w:val="00D766B8"/>
    <w:rsid w:val="00D84F22"/>
    <w:rsid w:val="00D92E60"/>
    <w:rsid w:val="00DD35F0"/>
    <w:rsid w:val="00DD6DB3"/>
    <w:rsid w:val="00DE4C19"/>
    <w:rsid w:val="00DF143E"/>
    <w:rsid w:val="00E04870"/>
    <w:rsid w:val="00E06BAE"/>
    <w:rsid w:val="00E12660"/>
    <w:rsid w:val="00E17953"/>
    <w:rsid w:val="00E311EE"/>
    <w:rsid w:val="00E96D24"/>
    <w:rsid w:val="00EC443A"/>
    <w:rsid w:val="00EF41C7"/>
    <w:rsid w:val="00F16FF0"/>
    <w:rsid w:val="00F25608"/>
    <w:rsid w:val="00F30357"/>
    <w:rsid w:val="00F519D5"/>
    <w:rsid w:val="00F55EF0"/>
    <w:rsid w:val="00F74F37"/>
    <w:rsid w:val="00F75062"/>
    <w:rsid w:val="00FC6D51"/>
    <w:rsid w:val="00FD2622"/>
    <w:rsid w:val="00FE1A95"/>
    <w:rsid w:val="0DD716D4"/>
    <w:rsid w:val="13243BAB"/>
    <w:rsid w:val="348F1C5C"/>
    <w:rsid w:val="45901DA5"/>
    <w:rsid w:val="49E50D0F"/>
    <w:rsid w:val="4BEA769C"/>
    <w:rsid w:val="5E726A43"/>
    <w:rsid w:val="7624235C"/>
    <w:rsid w:val="7C03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0"/>
    <w:link w:val="3Char"/>
    <w:uiPriority w:val="9"/>
    <w:qFormat/>
    <w:rsid w:val="00AB6ADB"/>
    <w:pPr>
      <w:keepNext/>
      <w:keepLines/>
      <w:autoSpaceDE w:val="0"/>
      <w:autoSpaceDN w:val="0"/>
      <w:adjustRightInd w:val="0"/>
      <w:spacing w:before="360" w:after="260" w:line="360" w:lineRule="auto"/>
      <w:jc w:val="left"/>
      <w:textAlignment w:val="baseline"/>
      <w:outlineLvl w:val="2"/>
    </w:pPr>
    <w:rPr>
      <w:rFonts w:ascii="宋体" w:eastAsia="宋体" w:hAnsi="Arial"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uiPriority w:val="99"/>
    <w:semiHidden/>
    <w:unhideWhenUsed/>
    <w:qFormat/>
    <w:pPr>
      <w:spacing w:after="120"/>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link w:val="2Char"/>
    <w:qFormat/>
    <w:pPr>
      <w:ind w:leftChars="0" w:left="0"/>
      <w:jc w:val="left"/>
    </w:pPr>
    <w:rPr>
      <w:szCs w:val="24"/>
    </w:rPr>
  </w:style>
  <w:style w:type="table" w:styleId="a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styleId="a9">
    <w:name w:val="List Paragraph"/>
    <w:basedOn w:val="a"/>
    <w:uiPriority w:val="34"/>
    <w:qFormat/>
    <w:pPr>
      <w:ind w:firstLineChars="200" w:firstLine="420"/>
    </w:pPr>
  </w:style>
  <w:style w:type="paragraph" w:customStyle="1" w:styleId="ListParagraph1">
    <w:name w:val="List Paragraph1"/>
    <w:basedOn w:val="a"/>
    <w:uiPriority w:val="34"/>
    <w:qFormat/>
    <w:pPr>
      <w:ind w:firstLineChars="200" w:firstLine="420"/>
    </w:pPr>
    <w:rPr>
      <w:rFonts w:ascii="Times New Roman" w:eastAsia="仿宋_GB2312" w:hAnsi="Times New Roman" w:cs="Times New Roman"/>
      <w:sz w:val="32"/>
      <w:szCs w:val="24"/>
    </w:rPr>
  </w:style>
  <w:style w:type="character" w:customStyle="1" w:styleId="Char">
    <w:name w:val="正文文本缩进 Char"/>
    <w:basedOn w:val="a1"/>
    <w:link w:val="a4"/>
    <w:uiPriority w:val="99"/>
    <w:semiHidden/>
    <w:qFormat/>
  </w:style>
  <w:style w:type="character" w:customStyle="1" w:styleId="2Char">
    <w:name w:val="正文首行缩进 2 Char"/>
    <w:basedOn w:val="Char"/>
    <w:link w:val="2"/>
    <w:qFormat/>
    <w:rPr>
      <w:szCs w:val="24"/>
    </w:rPr>
  </w:style>
  <w:style w:type="character" w:customStyle="1" w:styleId="Char0">
    <w:name w:val="批注框文本 Char"/>
    <w:basedOn w:val="a1"/>
    <w:link w:val="a5"/>
    <w:uiPriority w:val="99"/>
    <w:semiHidden/>
    <w:qFormat/>
    <w:rPr>
      <w:kern w:val="2"/>
      <w:sz w:val="18"/>
      <w:szCs w:val="18"/>
    </w:rPr>
  </w:style>
  <w:style w:type="paragraph" w:customStyle="1" w:styleId="null3">
    <w:name w:val="null3"/>
    <w:qFormat/>
    <w:rPr>
      <w:rFonts w:ascii="Calibri" w:hAnsi="Calibri" w:hint="eastAsia"/>
      <w:lang w:eastAsia="zh-Hans"/>
    </w:rPr>
  </w:style>
  <w:style w:type="character" w:customStyle="1" w:styleId="3Char">
    <w:name w:val="标题 3 Char"/>
    <w:basedOn w:val="a1"/>
    <w:link w:val="3"/>
    <w:uiPriority w:val="9"/>
    <w:rsid w:val="00AB6ADB"/>
    <w:rPr>
      <w:rFonts w:ascii="宋体" w:hAnsi="Arial"/>
      <w:b/>
      <w:kern w:val="2"/>
      <w:sz w:val="28"/>
    </w:rPr>
  </w:style>
  <w:style w:type="paragraph" w:styleId="a0">
    <w:name w:val="Normal Indent"/>
    <w:basedOn w:val="a"/>
    <w:unhideWhenUsed/>
    <w:qFormat/>
    <w:rsid w:val="00AB6AD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0"/>
    <w:link w:val="3Char"/>
    <w:uiPriority w:val="9"/>
    <w:qFormat/>
    <w:rsid w:val="00AB6ADB"/>
    <w:pPr>
      <w:keepNext/>
      <w:keepLines/>
      <w:autoSpaceDE w:val="0"/>
      <w:autoSpaceDN w:val="0"/>
      <w:adjustRightInd w:val="0"/>
      <w:spacing w:before="360" w:after="260" w:line="360" w:lineRule="auto"/>
      <w:jc w:val="left"/>
      <w:textAlignment w:val="baseline"/>
      <w:outlineLvl w:val="2"/>
    </w:pPr>
    <w:rPr>
      <w:rFonts w:ascii="宋体" w:eastAsia="宋体" w:hAnsi="Arial"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link w:val="Char"/>
    <w:uiPriority w:val="99"/>
    <w:semiHidden/>
    <w:unhideWhenUsed/>
    <w:qFormat/>
    <w:pPr>
      <w:spacing w:after="120"/>
      <w:ind w:leftChars="200" w:left="4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link w:val="2Char"/>
    <w:qFormat/>
    <w:pPr>
      <w:ind w:leftChars="0" w:left="0"/>
      <w:jc w:val="left"/>
    </w:pPr>
    <w:rPr>
      <w:szCs w:val="24"/>
    </w:rPr>
  </w:style>
  <w:style w:type="table" w:styleId="a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paragraph" w:styleId="a9">
    <w:name w:val="List Paragraph"/>
    <w:basedOn w:val="a"/>
    <w:uiPriority w:val="34"/>
    <w:qFormat/>
    <w:pPr>
      <w:ind w:firstLineChars="200" w:firstLine="420"/>
    </w:pPr>
  </w:style>
  <w:style w:type="paragraph" w:customStyle="1" w:styleId="ListParagraph1">
    <w:name w:val="List Paragraph1"/>
    <w:basedOn w:val="a"/>
    <w:uiPriority w:val="34"/>
    <w:qFormat/>
    <w:pPr>
      <w:ind w:firstLineChars="200" w:firstLine="420"/>
    </w:pPr>
    <w:rPr>
      <w:rFonts w:ascii="Times New Roman" w:eastAsia="仿宋_GB2312" w:hAnsi="Times New Roman" w:cs="Times New Roman"/>
      <w:sz w:val="32"/>
      <w:szCs w:val="24"/>
    </w:rPr>
  </w:style>
  <w:style w:type="character" w:customStyle="1" w:styleId="Char">
    <w:name w:val="正文文本缩进 Char"/>
    <w:basedOn w:val="a1"/>
    <w:link w:val="a4"/>
    <w:uiPriority w:val="99"/>
    <w:semiHidden/>
    <w:qFormat/>
  </w:style>
  <w:style w:type="character" w:customStyle="1" w:styleId="2Char">
    <w:name w:val="正文首行缩进 2 Char"/>
    <w:basedOn w:val="Char"/>
    <w:link w:val="2"/>
    <w:qFormat/>
    <w:rPr>
      <w:szCs w:val="24"/>
    </w:rPr>
  </w:style>
  <w:style w:type="character" w:customStyle="1" w:styleId="Char0">
    <w:name w:val="批注框文本 Char"/>
    <w:basedOn w:val="a1"/>
    <w:link w:val="a5"/>
    <w:uiPriority w:val="99"/>
    <w:semiHidden/>
    <w:qFormat/>
    <w:rPr>
      <w:kern w:val="2"/>
      <w:sz w:val="18"/>
      <w:szCs w:val="18"/>
    </w:rPr>
  </w:style>
  <w:style w:type="paragraph" w:customStyle="1" w:styleId="null3">
    <w:name w:val="null3"/>
    <w:qFormat/>
    <w:rPr>
      <w:rFonts w:ascii="Calibri" w:hAnsi="Calibri" w:hint="eastAsia"/>
      <w:lang w:eastAsia="zh-Hans"/>
    </w:rPr>
  </w:style>
  <w:style w:type="character" w:customStyle="1" w:styleId="3Char">
    <w:name w:val="标题 3 Char"/>
    <w:basedOn w:val="a1"/>
    <w:link w:val="3"/>
    <w:uiPriority w:val="9"/>
    <w:rsid w:val="00AB6ADB"/>
    <w:rPr>
      <w:rFonts w:ascii="宋体" w:hAnsi="Arial"/>
      <w:b/>
      <w:kern w:val="2"/>
      <w:sz w:val="28"/>
    </w:rPr>
  </w:style>
  <w:style w:type="paragraph" w:styleId="a0">
    <w:name w:val="Normal Indent"/>
    <w:basedOn w:val="a"/>
    <w:unhideWhenUsed/>
    <w:qFormat/>
    <w:rsid w:val="00AB6A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8</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69</cp:revision>
  <cp:lastPrinted>2024-01-12T07:39:00Z</cp:lastPrinted>
  <dcterms:created xsi:type="dcterms:W3CDTF">2024-01-12T02:34:00Z</dcterms:created>
  <dcterms:modified xsi:type="dcterms:W3CDTF">2025-07-29T06:55:00Z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8CB6B79B671948B199535980FAC18CF8_13</vt:lpwstr>
  </property>
  <property fmtid="{D5CDD505-2E9C-101B-9397-08002B2CF9AE}" pid="4" name="KSOTemplateDocerSaveRecord">
    <vt:lpwstr>eyJoZGlkIjoiNWM4NGZkMGYyNGJiMDVmNTEwZGIwNGNlMjBjYzMyZjMiLCJ1c2VySWQiOiIyMzUzNDk5NDMifQ==</vt:lpwstr>
  </property>
</Properties>
</file>