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1B758">
      <w:pPr>
        <w:jc w:val="center"/>
        <w:rPr>
          <w:rFonts w:hint="eastAsia"/>
          <w:sz w:val="48"/>
          <w:szCs w:val="48"/>
        </w:rPr>
      </w:pPr>
      <w:r>
        <w:rPr>
          <w:rFonts w:hint="eastAsia"/>
          <w:sz w:val="48"/>
          <w:szCs w:val="48"/>
        </w:rPr>
        <w:t>报  价 表</w:t>
      </w:r>
    </w:p>
    <w:p w14:paraId="7470F6A9">
      <w:pPr>
        <w:jc w:val="center"/>
        <w:rPr>
          <w:rFonts w:hint="eastAsia"/>
          <w:sz w:val="32"/>
          <w:szCs w:val="32"/>
        </w:rPr>
      </w:pPr>
      <w:r>
        <w:rPr>
          <w:rFonts w:hint="eastAsia"/>
          <w:sz w:val="32"/>
          <w:szCs w:val="32"/>
        </w:rPr>
        <w:t>（工程监理费用）</w:t>
      </w:r>
    </w:p>
    <w:p w14:paraId="3B8A7FEA">
      <w:pPr>
        <w:rPr>
          <w:rFonts w:hint="eastAsia" w:ascii="宋体" w:hAnsi="宋体" w:eastAsia="宋体" w:cs="宋体"/>
          <w:b w:val="0"/>
          <w:bCs/>
          <w:kern w:val="2"/>
          <w:sz w:val="24"/>
          <w:szCs w:val="24"/>
          <w:lang w:val="en-US" w:eastAsia="zh-CN" w:bidi="ar-SA"/>
        </w:rPr>
      </w:pPr>
      <w:r>
        <w:rPr>
          <w:rFonts w:hint="eastAsia"/>
          <w:sz w:val="28"/>
          <w:szCs w:val="28"/>
        </w:rPr>
        <w:t>项目名称：</w:t>
      </w:r>
      <w:r>
        <w:rPr>
          <w:rFonts w:hint="eastAsia" w:ascii="宋体" w:hAnsi="宋体" w:eastAsia="宋体" w:cs="宋体"/>
          <w:b w:val="0"/>
          <w:bCs/>
          <w:sz w:val="24"/>
          <w:szCs w:val="24"/>
        </w:rPr>
        <w:t>汕头大学精神卫生中心</w:t>
      </w:r>
      <w:r>
        <w:rPr>
          <w:rFonts w:hint="eastAsia" w:ascii="宋体" w:hAnsi="宋体" w:eastAsia="宋体" w:cs="宋体"/>
          <w:b w:val="0"/>
          <w:bCs/>
          <w:kern w:val="2"/>
          <w:sz w:val="24"/>
          <w:szCs w:val="24"/>
          <w:lang w:val="en-US" w:eastAsia="zh-CN" w:bidi="ar-SA"/>
        </w:rPr>
        <w:t>临时厨房拆除、地面石板铺装改造</w:t>
      </w:r>
      <w:bookmarkStart w:id="0" w:name="_GoBack"/>
      <w:bookmarkEnd w:id="0"/>
      <w:r>
        <w:rPr>
          <w:rFonts w:hint="eastAsia" w:ascii="宋体" w:hAnsi="宋体" w:eastAsia="宋体" w:cs="宋体"/>
          <w:b w:val="0"/>
          <w:bCs/>
          <w:kern w:val="2"/>
          <w:sz w:val="24"/>
          <w:szCs w:val="24"/>
          <w:lang w:val="en-US" w:eastAsia="zh-CN" w:bidi="ar-SA"/>
        </w:rPr>
        <w:t>项目监理服务</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1423"/>
        <w:gridCol w:w="1118"/>
        <w:gridCol w:w="4620"/>
      </w:tblGrid>
      <w:tr w14:paraId="0912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pct"/>
            <w:noWrap w:val="0"/>
            <w:vAlign w:val="center"/>
          </w:tcPr>
          <w:p w14:paraId="49CED81D">
            <w:pPr>
              <w:jc w:val="center"/>
              <w:rPr>
                <w:rFonts w:hint="eastAsia"/>
                <w:sz w:val="28"/>
                <w:szCs w:val="28"/>
              </w:rPr>
            </w:pPr>
            <w:r>
              <w:rPr>
                <w:rFonts w:hint="eastAsia"/>
                <w:sz w:val="28"/>
                <w:szCs w:val="28"/>
              </w:rPr>
              <w:t>参投单位</w:t>
            </w:r>
          </w:p>
        </w:tc>
        <w:tc>
          <w:tcPr>
            <w:tcW w:w="835" w:type="pct"/>
            <w:noWrap w:val="0"/>
            <w:vAlign w:val="center"/>
          </w:tcPr>
          <w:p w14:paraId="4166B566">
            <w:pPr>
              <w:jc w:val="center"/>
              <w:rPr>
                <w:rFonts w:hint="eastAsia"/>
                <w:sz w:val="28"/>
                <w:szCs w:val="28"/>
              </w:rPr>
            </w:pPr>
            <w:r>
              <w:rPr>
                <w:rFonts w:hint="eastAsia"/>
                <w:sz w:val="28"/>
                <w:szCs w:val="28"/>
              </w:rPr>
              <w:t>投标报价（元）</w:t>
            </w:r>
          </w:p>
        </w:tc>
        <w:tc>
          <w:tcPr>
            <w:tcW w:w="656" w:type="pct"/>
            <w:noWrap w:val="0"/>
            <w:vAlign w:val="center"/>
          </w:tcPr>
          <w:p w14:paraId="4C3CEDE8">
            <w:pPr>
              <w:jc w:val="center"/>
              <w:rPr>
                <w:rFonts w:hint="eastAsia" w:eastAsia="宋体"/>
                <w:sz w:val="28"/>
                <w:szCs w:val="28"/>
                <w:lang w:eastAsia="zh-CN"/>
              </w:rPr>
            </w:pPr>
            <w:r>
              <w:rPr>
                <w:rFonts w:hint="eastAsia"/>
                <w:sz w:val="28"/>
                <w:szCs w:val="28"/>
                <w:lang w:val="en-US" w:eastAsia="zh-CN"/>
              </w:rPr>
              <w:t>下浮率</w:t>
            </w:r>
          </w:p>
        </w:tc>
        <w:tc>
          <w:tcPr>
            <w:tcW w:w="2710" w:type="pct"/>
            <w:noWrap w:val="0"/>
            <w:vAlign w:val="center"/>
          </w:tcPr>
          <w:p w14:paraId="18043991">
            <w:pPr>
              <w:jc w:val="center"/>
              <w:rPr>
                <w:rFonts w:hint="eastAsia" w:eastAsia="宋体"/>
                <w:sz w:val="28"/>
                <w:szCs w:val="28"/>
                <w:lang w:val="en-US" w:eastAsia="zh-CN"/>
              </w:rPr>
            </w:pPr>
            <w:r>
              <w:rPr>
                <w:rFonts w:hint="eastAsia"/>
                <w:sz w:val="28"/>
                <w:szCs w:val="28"/>
                <w:lang w:val="en-US" w:eastAsia="zh-CN"/>
              </w:rPr>
              <w:t>备注</w:t>
            </w:r>
          </w:p>
        </w:tc>
      </w:tr>
      <w:tr w14:paraId="6C35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797" w:type="pct"/>
            <w:tcBorders>
              <w:bottom w:val="single" w:color="auto" w:sz="4" w:space="0"/>
            </w:tcBorders>
            <w:noWrap w:val="0"/>
            <w:vAlign w:val="center"/>
          </w:tcPr>
          <w:p w14:paraId="7A0EA12C">
            <w:pPr>
              <w:jc w:val="center"/>
              <w:rPr>
                <w:rFonts w:hint="eastAsia"/>
                <w:sz w:val="28"/>
                <w:szCs w:val="28"/>
              </w:rPr>
            </w:pPr>
          </w:p>
        </w:tc>
        <w:tc>
          <w:tcPr>
            <w:tcW w:w="835" w:type="pct"/>
            <w:tcBorders>
              <w:bottom w:val="single" w:color="auto" w:sz="4" w:space="0"/>
            </w:tcBorders>
            <w:noWrap w:val="0"/>
            <w:vAlign w:val="center"/>
          </w:tcPr>
          <w:p w14:paraId="1BD8DC06">
            <w:pPr>
              <w:jc w:val="center"/>
              <w:rPr>
                <w:rFonts w:hint="eastAsia"/>
                <w:sz w:val="28"/>
                <w:szCs w:val="28"/>
              </w:rPr>
            </w:pPr>
          </w:p>
        </w:tc>
        <w:tc>
          <w:tcPr>
            <w:tcW w:w="656" w:type="pct"/>
            <w:tcBorders>
              <w:bottom w:val="single" w:color="auto" w:sz="4" w:space="0"/>
            </w:tcBorders>
            <w:noWrap w:val="0"/>
            <w:vAlign w:val="center"/>
          </w:tcPr>
          <w:p w14:paraId="62738648">
            <w:pPr>
              <w:pStyle w:val="4"/>
              <w:ind w:firstLine="0" w:firstLineChars="0"/>
              <w:rPr>
                <w:rFonts w:hint="eastAsia" w:ascii="宋体" w:hAnsi="宋体"/>
                <w:sz w:val="28"/>
                <w:szCs w:val="28"/>
              </w:rPr>
            </w:pPr>
          </w:p>
        </w:tc>
        <w:tc>
          <w:tcPr>
            <w:tcW w:w="2710" w:type="pct"/>
            <w:tcBorders>
              <w:bottom w:val="single" w:color="auto" w:sz="4" w:space="0"/>
            </w:tcBorders>
            <w:noWrap w:val="0"/>
            <w:vAlign w:val="center"/>
          </w:tcPr>
          <w:p w14:paraId="74B2198E">
            <w:pPr>
              <w:pStyle w:val="4"/>
              <w:ind w:firstLine="0" w:firstLineChars="0"/>
              <w:rPr>
                <w:rFonts w:hint="eastAsia" w:ascii="宋体" w:hAnsi="宋体"/>
                <w:sz w:val="24"/>
                <w:szCs w:val="24"/>
              </w:rPr>
            </w:pPr>
            <w:r>
              <w:rPr>
                <w:rFonts w:hint="eastAsia" w:ascii="宋体" w:hAnsi="宋体"/>
                <w:sz w:val="24"/>
                <w:szCs w:val="24"/>
              </w:rPr>
              <w:t>1、计费标准：国家发改委、建设部关于印发【建设工程监理与相关服务收费管理规定】的通知发改价格【2007】670号文；</w:t>
            </w:r>
          </w:p>
          <w:p w14:paraId="71C8552B">
            <w:pPr>
              <w:pStyle w:val="4"/>
              <w:ind w:firstLine="0" w:firstLineChars="0"/>
              <w:rPr>
                <w:rFonts w:hint="eastAsia" w:ascii="宋体" w:hAnsi="宋体"/>
                <w:sz w:val="24"/>
                <w:szCs w:val="24"/>
              </w:rPr>
            </w:pPr>
            <w:r>
              <w:rPr>
                <w:rFonts w:hint="eastAsia" w:ascii="宋体" w:hAnsi="宋体"/>
                <w:sz w:val="24"/>
                <w:szCs w:val="24"/>
              </w:rPr>
              <w:t>2、各参投单位的报价必须按招标单位在招标文件中提供的统一报价表填报。</w:t>
            </w:r>
          </w:p>
        </w:tc>
      </w:tr>
    </w:tbl>
    <w:p w14:paraId="2A3E74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AB6D01"/>
    <w:rsid w:val="61E7056A"/>
    <w:rsid w:val="7FCD1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2026-07-22T02:46:00Z</dcterms:created>
  <dc:creator>ZongWuKe</dc:creator>
  <cp:lastModifiedBy>蔡濡聪</cp:lastModifiedBy>
  <dcterms:modified xsi:type="dcterms:W3CDTF">2026-07-22T02:53:58Z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BC05BF5010074A89993C8F624F4510AB_12</vt:lpwstr>
  </property>
</Properties>
</file>